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AA" w:rsidRPr="000F13A7" w:rsidRDefault="00A040AA" w:rsidP="00A040AA">
      <w:pPr>
        <w:pStyle w:val="Heading3"/>
      </w:pPr>
      <w:bookmarkStart w:id="0" w:name="_Toc56014418"/>
      <w:r w:rsidRPr="000F13A7">
        <w:rPr>
          <w:rFonts w:cs="Arial"/>
          <w:szCs w:val="22"/>
        </w:rPr>
        <w:t>Preschool nutri</w:t>
      </w:r>
      <w:bookmarkStart w:id="1" w:name="_GoBack"/>
      <w:bookmarkEnd w:id="1"/>
      <w:r w:rsidRPr="000F13A7">
        <w:rPr>
          <w:rFonts w:cs="Arial"/>
          <w:szCs w:val="22"/>
        </w:rPr>
        <w:t>tion, food and beverages and dietary requirements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85"/>
        <w:gridCol w:w="2686"/>
        <w:gridCol w:w="5672"/>
      </w:tblGrid>
      <w:tr w:rsidR="00A040AA" w:rsidRPr="000F13A7" w:rsidTr="00C2691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002060"/>
          </w:tcPr>
          <w:p w:rsidR="00A040AA" w:rsidRPr="000F13A7" w:rsidRDefault="00A040AA" w:rsidP="00C2691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6" w:type="dxa"/>
            <w:shd w:val="clear" w:color="auto" w:fill="002060"/>
          </w:tcPr>
          <w:p w:rsidR="00A040AA" w:rsidRPr="000F13A7" w:rsidRDefault="00A040AA" w:rsidP="00C2691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672" w:type="dxa"/>
            <w:shd w:val="clear" w:color="auto" w:fill="002060"/>
          </w:tcPr>
          <w:p w:rsidR="00A040AA" w:rsidRPr="000F13A7" w:rsidRDefault="00A040AA" w:rsidP="00C2691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rsidR="00A040AA" w:rsidRPr="000F13A7" w:rsidRDefault="00A040AA" w:rsidP="00C26919">
            <w:pPr>
              <w:spacing w:line="276" w:lineRule="auto"/>
              <w:rPr>
                <w:rFonts w:cs="Arial"/>
                <w:b/>
                <w:szCs w:val="22"/>
              </w:rPr>
            </w:pPr>
            <w:r w:rsidRPr="000F13A7">
              <w:t>2.1</w:t>
            </w:r>
          </w:p>
        </w:tc>
        <w:tc>
          <w:tcPr>
            <w:tcW w:w="2686" w:type="dxa"/>
          </w:tcPr>
          <w:p w:rsidR="00A040AA" w:rsidRPr="000F13A7" w:rsidRDefault="00A040AA" w:rsidP="00C26919">
            <w:pPr>
              <w:pStyle w:val="TableParagraph"/>
              <w:spacing w:before="137" w:line="276" w:lineRule="auto"/>
              <w:ind w:left="0" w:right="884"/>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7" w:history="1">
              <w:r w:rsidRPr="000F13A7">
                <w:rPr>
                  <w:rStyle w:val="Hyperlink"/>
                </w:rPr>
                <w:t>78</w:t>
              </w:r>
            </w:hyperlink>
          </w:p>
          <w:p w:rsidR="00A040AA" w:rsidRPr="000F13A7" w:rsidRDefault="00A040AA" w:rsidP="00C26919">
            <w:pPr>
              <w:pStyle w:val="TableParagraph"/>
              <w:spacing w:before="137" w:line="276" w:lineRule="auto"/>
              <w:ind w:left="0" w:right="1026"/>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8" w:history="1">
              <w:r w:rsidRPr="000F13A7">
                <w:rPr>
                  <w:rStyle w:val="Hyperlink"/>
                </w:rPr>
                <w:t>79</w:t>
              </w:r>
            </w:hyperlink>
          </w:p>
          <w:p w:rsidR="00A040AA" w:rsidRPr="000F13A7" w:rsidRDefault="00A040AA" w:rsidP="00C2691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sz w:val="22"/>
                <w:szCs w:val="22"/>
              </w:rPr>
              <w:t xml:space="preserve">Regulation </w:t>
            </w:r>
            <w:hyperlink r:id="rId9" w:anchor="sec.80" w:history="1">
              <w:r w:rsidRPr="000F13A7">
                <w:rPr>
                  <w:rStyle w:val="Hyperlink"/>
                  <w:rFonts w:cs="Arial"/>
                  <w:sz w:val="22"/>
                  <w:szCs w:val="22"/>
                </w:rPr>
                <w:t>80</w:t>
              </w:r>
            </w:hyperlink>
          </w:p>
        </w:tc>
        <w:tc>
          <w:tcPr>
            <w:tcW w:w="5672" w:type="dxa"/>
          </w:tcPr>
          <w:p w:rsidR="00A040AA" w:rsidRPr="000F13A7" w:rsidRDefault="0073613D" w:rsidP="00C26919">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0" w:history="1">
              <w:r w:rsidR="00A040AA" w:rsidRPr="000F13A7">
                <w:rPr>
                  <w:rStyle w:val="Hyperlink"/>
                  <w:rFonts w:cs="Arial"/>
                  <w:sz w:val="22"/>
                  <w:szCs w:val="22"/>
                </w:rPr>
                <w:t>Leading and Operating Department Preschool Guidelines</w:t>
              </w:r>
            </w:hyperlink>
          </w:p>
          <w:p w:rsidR="00A040AA" w:rsidRPr="000F13A7" w:rsidRDefault="0073613D" w:rsidP="00C2691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A040AA" w:rsidRPr="000F13A7">
                <w:rPr>
                  <w:rStyle w:val="Hyperlink"/>
                  <w:rFonts w:cs="Arial"/>
                  <w:sz w:val="22"/>
                  <w:szCs w:val="22"/>
                </w:rPr>
                <w:t>Nutrition in Schools Policy</w:t>
              </w:r>
            </w:hyperlink>
          </w:p>
          <w:p w:rsidR="00A040AA" w:rsidRPr="000F13A7" w:rsidRDefault="0073613D" w:rsidP="00C2691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2" w:history="1">
              <w:r w:rsidR="00A040AA" w:rsidRPr="000F13A7">
                <w:rPr>
                  <w:rStyle w:val="Hyperlink"/>
                  <w:rFonts w:cs="Arial"/>
                  <w:sz w:val="22"/>
                </w:rPr>
                <w:t>Allergy and Anaphylaxis Management Within the P-12 Curriculum</w:t>
              </w:r>
            </w:hyperlink>
          </w:p>
          <w:p w:rsidR="00A040AA" w:rsidRPr="000F13A7" w:rsidRDefault="00A040AA" w:rsidP="00C2691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A040AA" w:rsidP="00C26919">
            <w:pPr>
              <w:spacing w:line="276" w:lineRule="auto"/>
              <w:rPr>
                <w:rFonts w:cs="Arial"/>
                <w:b/>
                <w:bCs/>
                <w:szCs w:val="22"/>
                <w:lang w:eastAsia="zh-CN"/>
              </w:rPr>
            </w:pPr>
            <w:r w:rsidRPr="000F13A7">
              <w:rPr>
                <w:rFonts w:cs="Arial"/>
                <w:b/>
                <w:bCs/>
                <w:szCs w:val="22"/>
                <w:lang w:eastAsia="zh-CN"/>
              </w:rPr>
              <w:t>Pre-reading and reference documents</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73613D" w:rsidP="00C26919">
            <w:pPr>
              <w:spacing w:line="276" w:lineRule="auto"/>
              <w:rPr>
                <w:rStyle w:val="Hyperlink"/>
                <w:rFonts w:cs="Arial"/>
              </w:rPr>
            </w:pPr>
            <w:hyperlink r:id="rId13" w:history="1">
              <w:r w:rsidR="00A040AA" w:rsidRPr="000F13A7">
                <w:rPr>
                  <w:rStyle w:val="Hyperlink"/>
                  <w:rFonts w:cs="Arial"/>
                </w:rPr>
                <w:t>ASCIA Guidelines for the prevention of anaphylaxis in schools</w:t>
              </w:r>
            </w:hyperlink>
          </w:p>
          <w:p w:rsidR="00A040AA" w:rsidRPr="000F13A7" w:rsidRDefault="0073613D" w:rsidP="00C26919">
            <w:pPr>
              <w:spacing w:line="276" w:lineRule="auto"/>
              <w:rPr>
                <w:rStyle w:val="Hyperlink"/>
                <w:rFonts w:cs="Arial"/>
                <w:lang w:eastAsia="zh-CN"/>
              </w:rPr>
            </w:pPr>
            <w:hyperlink r:id="rId14">
              <w:r w:rsidR="00A040AA" w:rsidRPr="000F13A7">
                <w:rPr>
                  <w:rStyle w:val="Hyperlink"/>
                  <w:rFonts w:cs="Arial"/>
                  <w:lang w:eastAsia="zh-CN"/>
                </w:rPr>
                <w:t>NSW Food Authority: Children’s Services Voluntary Food Safety Template</w:t>
              </w:r>
            </w:hyperlink>
          </w:p>
          <w:p w:rsidR="00A040AA" w:rsidRPr="000F13A7" w:rsidRDefault="0073613D" w:rsidP="00C26919">
            <w:pPr>
              <w:spacing w:line="276" w:lineRule="auto"/>
              <w:rPr>
                <w:rStyle w:val="Hyperlink"/>
                <w:rFonts w:cs="Arial"/>
                <w:lang w:eastAsia="zh-CN"/>
              </w:rPr>
            </w:pPr>
            <w:hyperlink r:id="rId15">
              <w:r w:rsidR="00A040AA" w:rsidRPr="000F13A7">
                <w:rPr>
                  <w:rStyle w:val="Hyperlink"/>
                  <w:rFonts w:cs="Arial"/>
                  <w:lang w:eastAsia="zh-CN"/>
                </w:rPr>
                <w:t>Munch and Move Healthy Eating Resources</w:t>
              </w:r>
            </w:hyperlink>
          </w:p>
          <w:p w:rsidR="00A040AA" w:rsidRPr="000F13A7" w:rsidRDefault="0073613D" w:rsidP="00C26919">
            <w:pPr>
              <w:rPr>
                <w:rFonts w:cs="Arial"/>
              </w:rPr>
            </w:pPr>
            <w:hyperlink r:id="rId16">
              <w:r w:rsidR="00A040AA" w:rsidRPr="000F13A7">
                <w:rPr>
                  <w:rStyle w:val="Hyperlink"/>
                  <w:rFonts w:cs="Arial"/>
                </w:rPr>
                <w:t>Australian Dietary Guidelines</w:t>
              </w:r>
            </w:hyperlink>
          </w:p>
          <w:p w:rsidR="00A040AA" w:rsidRPr="000F13A7" w:rsidRDefault="0073613D" w:rsidP="00C26919">
            <w:pPr>
              <w:spacing w:line="276" w:lineRule="auto"/>
              <w:rPr>
                <w:rStyle w:val="Hyperlink"/>
                <w:rFonts w:cs="Arial"/>
                <w:szCs w:val="22"/>
                <w:lang w:eastAsia="zh-CN"/>
              </w:rPr>
            </w:pPr>
            <w:hyperlink r:id="rId17" w:history="1">
              <w:r w:rsidR="00A040AA" w:rsidRPr="000F13A7">
                <w:rPr>
                  <w:rStyle w:val="Hyperlink"/>
                  <w:rFonts w:cs="Arial"/>
                  <w:szCs w:val="22"/>
                  <w:lang w:eastAsia="zh-CN"/>
                </w:rPr>
                <w:t>Eat for Health Website</w:t>
              </w:r>
            </w:hyperlink>
          </w:p>
          <w:p w:rsidR="00A040AA" w:rsidRPr="000F13A7" w:rsidRDefault="00A040AA" w:rsidP="00C26919">
            <w:pPr>
              <w:spacing w:line="276" w:lineRule="auto"/>
              <w:rPr>
                <w:rFonts w:cs="Arial"/>
                <w:szCs w:val="22"/>
                <w:lang w:eastAsia="zh-CN"/>
              </w:rPr>
            </w:pP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A040AA" w:rsidP="00C26919">
            <w:pPr>
              <w:spacing w:line="276" w:lineRule="auto"/>
              <w:rPr>
                <w:b/>
              </w:rPr>
            </w:pPr>
            <w:r w:rsidRPr="000F13A7">
              <w:rPr>
                <w:rFonts w:cs="Arial"/>
                <w:b/>
                <w:bCs/>
                <w:szCs w:val="22"/>
                <w:lang w:eastAsia="zh-CN"/>
              </w:rPr>
              <w:t>Related procedure</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A040AA" w:rsidP="00C26919">
            <w:pPr>
              <w:pStyle w:val="ListParagraph"/>
              <w:spacing w:before="80" w:after="80" w:line="276" w:lineRule="auto"/>
              <w:ind w:left="-2"/>
              <w:mirrorIndents/>
              <w:rPr>
                <w:rFonts w:ascii="Montserrat" w:hAnsi="Montserrat"/>
              </w:rPr>
            </w:pPr>
            <w:r w:rsidRPr="000F13A7">
              <w:rPr>
                <w:rFonts w:ascii="Montserrat" w:hAnsi="Montserrat"/>
              </w:rPr>
              <w:t>Dealing with medical conditions in children</w:t>
            </w:r>
          </w:p>
          <w:p w:rsidR="00A040AA" w:rsidRPr="000F13A7" w:rsidRDefault="00A040AA" w:rsidP="00C26919">
            <w:pPr>
              <w:pStyle w:val="ListParagraph"/>
              <w:spacing w:before="80" w:after="80" w:line="276" w:lineRule="auto"/>
              <w:ind w:left="-2"/>
              <w:mirrorIndents/>
              <w:rPr>
                <w:rFonts w:ascii="Montserrat" w:hAnsi="Montserrat"/>
                <w:b/>
              </w:rPr>
            </w:pP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A040AA" w:rsidP="00C26919">
            <w:pPr>
              <w:spacing w:line="276" w:lineRule="auto"/>
              <w:rPr>
                <w:rFonts w:cs="Arial"/>
                <w:b/>
                <w:bCs/>
                <w:szCs w:val="22"/>
                <w:lang w:eastAsia="zh-CN"/>
              </w:rPr>
            </w:pPr>
            <w:r w:rsidRPr="000F13A7">
              <w:rPr>
                <w:rFonts w:cs="Arial"/>
                <w:b/>
                <w:bCs/>
                <w:szCs w:val="22"/>
                <w:lang w:eastAsia="zh-CN"/>
              </w:rPr>
              <w:t>Staff roles and responsibilities</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rsidR="00A040AA" w:rsidRPr="000F13A7" w:rsidRDefault="00A040AA" w:rsidP="00C26919">
            <w:pPr>
              <w:spacing w:after="192" w:line="276" w:lineRule="auto"/>
              <w:rPr>
                <w:rFonts w:cs="Arial"/>
                <w:b/>
                <w:bCs/>
                <w:szCs w:val="22"/>
                <w:lang w:eastAsia="zh-CN"/>
              </w:rPr>
            </w:pPr>
            <w:r w:rsidRPr="000F13A7">
              <w:rPr>
                <w:rFonts w:cs="Arial"/>
                <w:b/>
                <w:bCs/>
                <w:szCs w:val="22"/>
                <w:lang w:eastAsia="zh-CN"/>
              </w:rPr>
              <w:t>School principal</w:t>
            </w:r>
          </w:p>
          <w:p w:rsidR="00A040AA" w:rsidRPr="000F13A7" w:rsidRDefault="00A040AA" w:rsidP="00C26919">
            <w:pPr>
              <w:spacing w:line="276" w:lineRule="auto"/>
              <w:rPr>
                <w:rFonts w:cs="Arial"/>
                <w:b/>
                <w:szCs w:val="22"/>
                <w:lang w:eastAsia="zh-CN"/>
              </w:rPr>
            </w:pPr>
          </w:p>
        </w:tc>
        <w:tc>
          <w:tcPr>
            <w:tcW w:w="8358" w:type="dxa"/>
            <w:gridSpan w:val="2"/>
          </w:tcPr>
          <w:p w:rsidR="00A040AA" w:rsidRPr="000F13A7" w:rsidRDefault="00A040AA" w:rsidP="00C2691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A040AA" w:rsidRPr="000F13A7" w:rsidRDefault="00A040AA" w:rsidP="00C2691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A040AA" w:rsidRPr="000F13A7" w:rsidRDefault="00A040AA" w:rsidP="00A040AA">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A040AA" w:rsidRPr="000F13A7" w:rsidRDefault="00A040AA" w:rsidP="00A040AA">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A040AA" w:rsidRPr="0038260B" w:rsidRDefault="00A040AA" w:rsidP="00C26919">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all procedures are current and reviewed as part of a continuous cycle of self- assessment.</w:t>
            </w: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spacing w:line="276" w:lineRule="auto"/>
              <w:rPr>
                <w:rFonts w:cs="Arial"/>
                <w:b/>
                <w:bCs/>
                <w:szCs w:val="22"/>
                <w:lang w:eastAsia="zh-CN"/>
              </w:rPr>
            </w:pPr>
            <w:r w:rsidRPr="000F13A7">
              <w:rPr>
                <w:rFonts w:cs="Arial"/>
                <w:b/>
                <w:bCs/>
                <w:szCs w:val="22"/>
                <w:lang w:eastAsia="zh-CN"/>
              </w:rPr>
              <w:lastRenderedPageBreak/>
              <w:t>Preschool supervisor</w:t>
            </w:r>
          </w:p>
          <w:p w:rsidR="00A040AA" w:rsidRPr="000F13A7" w:rsidRDefault="00A040AA" w:rsidP="00C26919">
            <w:pPr>
              <w:spacing w:line="276" w:lineRule="auto"/>
              <w:rPr>
                <w:rFonts w:cs="Arial"/>
                <w:szCs w:val="22"/>
                <w:lang w:eastAsia="zh-CN"/>
              </w:rPr>
            </w:pPr>
          </w:p>
        </w:tc>
        <w:tc>
          <w:tcPr>
            <w:tcW w:w="8358" w:type="dxa"/>
            <w:gridSpan w:val="2"/>
            <w:shd w:val="clear" w:color="auto" w:fill="auto"/>
          </w:tcPr>
          <w:p w:rsidR="00A040AA" w:rsidRPr="000F13A7" w:rsidRDefault="00A040AA" w:rsidP="0021306D">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rsidR="00A040AA" w:rsidRPr="000F13A7" w:rsidRDefault="00A040AA" w:rsidP="00C26919">
            <w:pPr>
              <w:spacing w:line="276" w:lineRule="auto"/>
              <w:rPr>
                <w:rFonts w:cs="Arial"/>
                <w:b/>
                <w:bCs/>
                <w:szCs w:val="22"/>
                <w:lang w:eastAsia="zh-CN"/>
              </w:rPr>
            </w:pPr>
            <w:r w:rsidRPr="000F13A7">
              <w:rPr>
                <w:rFonts w:cs="Arial"/>
                <w:b/>
                <w:bCs/>
                <w:szCs w:val="22"/>
                <w:lang w:eastAsia="zh-CN"/>
              </w:rPr>
              <w:t>Preschool educators</w:t>
            </w:r>
          </w:p>
          <w:p w:rsidR="00A040AA" w:rsidRPr="000F13A7" w:rsidRDefault="00A040AA" w:rsidP="00C26919">
            <w:pPr>
              <w:spacing w:line="276" w:lineRule="auto"/>
              <w:rPr>
                <w:rFonts w:cs="Arial"/>
                <w:szCs w:val="22"/>
                <w:lang w:eastAsia="zh-CN"/>
              </w:rPr>
            </w:pPr>
          </w:p>
        </w:tc>
        <w:tc>
          <w:tcPr>
            <w:tcW w:w="8358" w:type="dxa"/>
            <w:gridSpan w:val="2"/>
          </w:tcPr>
          <w:p w:rsidR="00A040AA" w:rsidRPr="000F13A7" w:rsidRDefault="00A040AA" w:rsidP="00C2691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rsidR="00A040AA" w:rsidRPr="000F13A7" w:rsidRDefault="00A040AA" w:rsidP="00A040AA">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A040AA" w:rsidRPr="000F13A7" w:rsidRDefault="00A040AA" w:rsidP="00A040AA">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A040AA" w:rsidRPr="000F13A7" w:rsidRDefault="00A040AA" w:rsidP="00A040AA">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rsidR="00A040AA" w:rsidRPr="000F13A7" w:rsidRDefault="00A040AA" w:rsidP="00A040AA">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A040AA" w:rsidRPr="000F13A7" w:rsidRDefault="00A040AA" w:rsidP="00C26919">
            <w:pPr>
              <w:spacing w:line="276" w:lineRule="auto"/>
              <w:rPr>
                <w:rFonts w:cs="Arial"/>
                <w:b/>
                <w:bCs/>
                <w:szCs w:val="22"/>
              </w:rPr>
            </w:pPr>
            <w:r w:rsidRPr="000F13A7">
              <w:rPr>
                <w:rFonts w:cs="Arial"/>
                <w:b/>
                <w:bCs/>
                <w:szCs w:val="22"/>
                <w:lang w:eastAsia="zh-CN"/>
              </w:rPr>
              <w:t>Procedure</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pStyle w:val="BodyText"/>
              <w:kinsoku w:val="0"/>
              <w:overflowPunct w:val="0"/>
              <w:spacing w:line="276" w:lineRule="auto"/>
              <w:rPr>
                <w:rFonts w:ascii="Montserrat" w:hAnsi="Montserrat"/>
                <w:b/>
                <w:bCs/>
                <w:szCs w:val="22"/>
              </w:rPr>
            </w:pPr>
            <w:r w:rsidRPr="000F13A7">
              <w:rPr>
                <w:rFonts w:ascii="Montserrat" w:hAnsi="Montserrat"/>
                <w:b/>
                <w:bCs/>
                <w:szCs w:val="22"/>
              </w:rPr>
              <w:t>Supporting breastfeeding</w:t>
            </w:r>
          </w:p>
        </w:tc>
        <w:tc>
          <w:tcPr>
            <w:tcW w:w="8358" w:type="dxa"/>
            <w:gridSpan w:val="2"/>
            <w:shd w:val="clear" w:color="auto" w:fill="auto"/>
          </w:tcPr>
          <w:p w:rsidR="0021306D" w:rsidRDefault="00A040AA" w:rsidP="00A040AA">
            <w:pPr>
              <w:pStyle w:val="BodyText"/>
              <w:numPr>
                <w:ilvl w:val="0"/>
                <w:numId w:val="34"/>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a breastfeeding - friendly place. </w:t>
            </w:r>
            <w:r w:rsidR="00DD0C27">
              <w:rPr>
                <w:rFonts w:ascii="Montserrat" w:hAnsi="Montserrat"/>
                <w:sz w:val="22"/>
                <w:szCs w:val="22"/>
              </w:rPr>
              <w:t xml:space="preserve">We are registered with the Australian breastfeeding association and promote this through a displayed sticker in the entrance foyer. A community room with a comfortable couch is available for families to use as needed. Educators are positive and supportive towards families who are breastfeeding, expressing or formula feeding. </w:t>
            </w:r>
          </w:p>
          <w:p w:rsidR="00A040AA" w:rsidRPr="000F13A7" w:rsidRDefault="00A040AA" w:rsidP="00DD0C27">
            <w:pPr>
              <w:pStyle w:val="BodyText"/>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pStyle w:val="BodyText"/>
              <w:kinsoku w:val="0"/>
              <w:overflowPunct w:val="0"/>
              <w:spacing w:line="276" w:lineRule="auto"/>
              <w:rPr>
                <w:rFonts w:ascii="Montserrat" w:hAnsi="Montserrat"/>
                <w:b/>
                <w:bCs/>
                <w:szCs w:val="22"/>
              </w:rPr>
            </w:pPr>
            <w:r w:rsidRPr="000F13A7">
              <w:rPr>
                <w:rFonts w:ascii="Montserrat" w:hAnsi="Montserrat"/>
                <w:b/>
                <w:bCs/>
                <w:szCs w:val="22"/>
              </w:rPr>
              <w:t xml:space="preserve">Access to safe drinking water </w:t>
            </w:r>
          </w:p>
          <w:p w:rsidR="00A040AA" w:rsidRPr="000F13A7" w:rsidRDefault="00A040AA" w:rsidP="00C26919">
            <w:pPr>
              <w:spacing w:line="276" w:lineRule="auto"/>
              <w:rPr>
                <w:rFonts w:cs="Arial"/>
                <w:b/>
                <w:bCs/>
                <w:szCs w:val="22"/>
                <w:lang w:eastAsia="zh-CN"/>
              </w:rPr>
            </w:pPr>
          </w:p>
        </w:tc>
        <w:tc>
          <w:tcPr>
            <w:tcW w:w="8358" w:type="dxa"/>
            <w:gridSpan w:val="2"/>
            <w:shd w:val="clear" w:color="auto" w:fill="auto"/>
          </w:tcPr>
          <w:p w:rsidR="00A040AA" w:rsidRPr="000F13A7" w:rsidRDefault="00A040AA" w:rsidP="00A040AA">
            <w:pPr>
              <w:pStyle w:val="BodyText"/>
              <w:numPr>
                <w:ilvl w:val="0"/>
                <w:numId w:val="34"/>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Families are expected to provide their child with a full bottle of water each day. These are stored in a way that supports each child is able to access their own bottle themselves, throughout the day. </w:t>
            </w:r>
            <w:r w:rsidR="00DD0C27">
              <w:rPr>
                <w:rFonts w:ascii="Montserrat" w:hAnsi="Montserrat"/>
                <w:sz w:val="22"/>
                <w:szCs w:val="22"/>
              </w:rPr>
              <w:t xml:space="preserve">These are initially stored above the lunchbox lockers and moved outside and throughout the service as needed. Water bottles are refilled using the town tap water if needed and clean spare water bottles are offered to children who may not have one. </w:t>
            </w:r>
          </w:p>
          <w:p w:rsidR="00A040AA" w:rsidRPr="000F13A7" w:rsidRDefault="00A040AA" w:rsidP="00A040AA">
            <w:pPr>
              <w:pStyle w:val="BodyText"/>
              <w:numPr>
                <w:ilvl w:val="0"/>
                <w:numId w:val="34"/>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educational program explicitly teaches and promotes water as the drink of choice for good health. Children are discouraged from bringing sweet drinks to preschool. </w:t>
            </w:r>
            <w:r w:rsidR="00C06768">
              <w:rPr>
                <w:rFonts w:ascii="Montserrat" w:hAnsi="Montserrat"/>
                <w:sz w:val="22"/>
                <w:szCs w:val="22"/>
              </w:rPr>
              <w:t xml:space="preserve">This message is communicated as part of the enrolment process. </w:t>
            </w:r>
            <w:r w:rsidR="00DD0C27">
              <w:rPr>
                <w:rFonts w:ascii="Montserrat" w:hAnsi="Montserrat"/>
                <w:sz w:val="22"/>
                <w:szCs w:val="22"/>
              </w:rPr>
              <w:t xml:space="preserve">Educators engage in conversations around </w:t>
            </w:r>
            <w:r w:rsidR="00C06768">
              <w:rPr>
                <w:rFonts w:ascii="Montserrat" w:hAnsi="Montserrat"/>
                <w:sz w:val="22"/>
                <w:szCs w:val="22"/>
              </w:rPr>
              <w:t xml:space="preserve">drinking water, and visual reminders to drink are displayed around the service as a reminder to children. </w:t>
            </w:r>
          </w:p>
          <w:p w:rsidR="00A040AA" w:rsidRPr="000F13A7" w:rsidRDefault="00A040AA" w:rsidP="00C26919">
            <w:pPr>
              <w:spacing w:after="0" w:line="276" w:lineRule="auto"/>
              <w:cnfStyle w:val="000000010000" w:firstRow="0" w:lastRow="0" w:firstColumn="0" w:lastColumn="0" w:oddVBand="0" w:evenVBand="0" w:oddHBand="0" w:evenHBand="1" w:firstRowFirstColumn="0" w:firstRowLastColumn="0" w:lastRowFirstColumn="0" w:lastRowLastColumn="0"/>
              <w:rPr>
                <w:rFonts w:cs="Arial"/>
                <w:color w:val="000000"/>
                <w:sz w:val="22"/>
                <w:szCs w:val="22"/>
                <w:shd w:val="clear" w:color="auto" w:fill="FFFFFF"/>
              </w:rPr>
            </w:pP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spacing w:line="276" w:lineRule="auto"/>
              <w:rPr>
                <w:rFonts w:cs="Arial"/>
                <w:b/>
                <w:bCs/>
                <w:szCs w:val="22"/>
              </w:rPr>
            </w:pPr>
            <w:r w:rsidRPr="000F13A7">
              <w:rPr>
                <w:rFonts w:cs="Arial"/>
                <w:b/>
                <w:bCs/>
                <w:szCs w:val="22"/>
              </w:rPr>
              <w:t>Nutritious food</w:t>
            </w:r>
          </w:p>
          <w:p w:rsidR="00A040AA" w:rsidRPr="000F13A7" w:rsidRDefault="00A040AA" w:rsidP="00C2691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rsidR="00A040AA" w:rsidRPr="000F13A7" w:rsidRDefault="00A040AA" w:rsidP="00A040AA">
            <w:pPr>
              <w:pStyle w:val="ListParagraph"/>
              <w:numPr>
                <w:ilvl w:val="0"/>
                <w:numId w:val="3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lastRenderedPageBreak/>
              <w:t xml:space="preserve">The preschool does not provide food for children. Families supply their child with lunch and snacks for morning and / or afternoon </w:t>
            </w:r>
            <w:r w:rsidRPr="000F13A7">
              <w:rPr>
                <w:rFonts w:ascii="Montserrat" w:hAnsi="Montserrat"/>
                <w:sz w:val="22"/>
                <w:szCs w:val="22"/>
              </w:rPr>
              <w:lastRenderedPageBreak/>
              <w:t xml:space="preserve">tea. Families are encouraged to provide nutritious foods for their children at preschool. </w:t>
            </w:r>
            <w:r w:rsidR="00C06768">
              <w:rPr>
                <w:rFonts w:ascii="Montserrat" w:hAnsi="Montserrat"/>
                <w:sz w:val="22"/>
                <w:szCs w:val="22"/>
              </w:rPr>
              <w:t xml:space="preserve">Djanenjam preschool follows the munch and move guidelines, and provides relevant pamphlet information to families on enrolment and throughout the year through the story park application. </w:t>
            </w:r>
          </w:p>
          <w:p w:rsidR="00A040AA" w:rsidRPr="000F13A7" w:rsidRDefault="00A040AA" w:rsidP="00A040AA">
            <w:pPr>
              <w:pStyle w:val="ListParagraph"/>
              <w:numPr>
                <w:ilvl w:val="0"/>
                <w:numId w:val="3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Parents are informed that the preschool is </w:t>
            </w:r>
            <w:proofErr w:type="spellStart"/>
            <w:r w:rsidRPr="000F13A7">
              <w:rPr>
                <w:rFonts w:ascii="Montserrat" w:hAnsi="Montserrat"/>
                <w:i/>
                <w:sz w:val="22"/>
                <w:szCs w:val="22"/>
              </w:rPr>
              <w:t>nut</w:t>
            </w:r>
            <w:proofErr w:type="spellEnd"/>
            <w:r w:rsidRPr="000F13A7">
              <w:rPr>
                <w:rFonts w:ascii="Montserrat" w:hAnsi="Montserrat"/>
                <w:i/>
                <w:sz w:val="22"/>
                <w:szCs w:val="22"/>
              </w:rPr>
              <w:t xml:space="preserve"> aware</w:t>
            </w:r>
            <w:r w:rsidRPr="000F13A7">
              <w:rPr>
                <w:rFonts w:ascii="Montserrat" w:hAnsi="Montserrat"/>
                <w:sz w:val="22"/>
                <w:szCs w:val="22"/>
              </w:rPr>
              <w:t xml:space="preserve"> and foods that contain nuts are discouraged. </w:t>
            </w:r>
            <w:r w:rsidR="00C06768">
              <w:rPr>
                <w:rFonts w:ascii="Montserrat" w:hAnsi="Montserrat"/>
                <w:sz w:val="22"/>
                <w:szCs w:val="22"/>
              </w:rPr>
              <w:t xml:space="preserve">This information is provided as part of the enrolment pack and communicated with families through </w:t>
            </w:r>
            <w:r w:rsidR="009C095A">
              <w:rPr>
                <w:rFonts w:ascii="Montserrat" w:hAnsi="Montserrat"/>
                <w:sz w:val="22"/>
                <w:szCs w:val="22"/>
              </w:rPr>
              <w:t>story park</w:t>
            </w:r>
            <w:r w:rsidR="00C06768">
              <w:rPr>
                <w:rFonts w:ascii="Montserrat" w:hAnsi="Montserrat"/>
                <w:sz w:val="22"/>
                <w:szCs w:val="22"/>
              </w:rPr>
              <w:t xml:space="preserve">, signage or verbal discussions as needed. </w:t>
            </w:r>
          </w:p>
          <w:p w:rsidR="00A040AA" w:rsidRPr="000F13A7" w:rsidRDefault="00A040AA" w:rsidP="00A040AA">
            <w:pPr>
              <w:pStyle w:val="ListParagraph"/>
              <w:numPr>
                <w:ilvl w:val="0"/>
                <w:numId w:val="3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w:t>
            </w:r>
            <w:r w:rsidR="00C06768" w:rsidRPr="000F13A7">
              <w:rPr>
                <w:rFonts w:ascii="Montserrat" w:hAnsi="Montserrat"/>
                <w:sz w:val="22"/>
                <w:szCs w:val="22"/>
              </w:rPr>
              <w:t>enrolls</w:t>
            </w:r>
            <w:r w:rsidRPr="000F13A7">
              <w:rPr>
                <w:rFonts w:ascii="Montserrat" w:hAnsi="Montserrat"/>
                <w:sz w:val="22"/>
                <w:szCs w:val="22"/>
              </w:rPr>
              <w:t xml:space="preserve"> who is allergic to another food, such as sesame seeds or eggs, these foods are discouraged also</w:t>
            </w:r>
            <w:r w:rsidR="00C06768">
              <w:rPr>
                <w:rFonts w:ascii="Montserrat" w:hAnsi="Montserrat"/>
                <w:sz w:val="22"/>
                <w:szCs w:val="22"/>
              </w:rPr>
              <w:t xml:space="preserve">. notice is posted to the preschool as a reminder to families that a child in attendance has an allergy. </w:t>
            </w:r>
          </w:p>
          <w:p w:rsidR="00A040AA" w:rsidRPr="000F13A7" w:rsidRDefault="00A040AA" w:rsidP="00A040AA">
            <w:pPr>
              <w:pStyle w:val="ListParagraph"/>
              <w:numPr>
                <w:ilvl w:val="0"/>
                <w:numId w:val="3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educational program and daily routines explicitly teach and promote healthy food choices. </w:t>
            </w:r>
            <w:r w:rsidR="009C095A">
              <w:rPr>
                <w:rFonts w:ascii="Montserrat" w:hAnsi="Montserrat"/>
                <w:sz w:val="22"/>
                <w:szCs w:val="22"/>
              </w:rPr>
              <w:t>Djanenjam preschool</w:t>
            </w:r>
            <w:r w:rsidR="00C06768">
              <w:rPr>
                <w:rFonts w:ascii="Montserrat" w:hAnsi="Montserrat"/>
                <w:sz w:val="22"/>
                <w:szCs w:val="22"/>
              </w:rPr>
              <w:t xml:space="preserve"> </w:t>
            </w:r>
            <w:r w:rsidR="00C06768" w:rsidRPr="009C095A">
              <w:rPr>
                <w:rFonts w:ascii="Montserrat" w:hAnsi="Montserrat"/>
                <w:sz w:val="22"/>
                <w:szCs w:val="22"/>
              </w:rPr>
              <w:t>us</w:t>
            </w:r>
            <w:r w:rsidR="00C06768" w:rsidRPr="009C095A">
              <w:rPr>
                <w:rFonts w:ascii="Montserrat" w:hAnsi="Montserrat"/>
                <w:sz w:val="22"/>
                <w:szCs w:val="22"/>
              </w:rPr>
              <w:t>e</w:t>
            </w:r>
            <w:r w:rsidR="009C095A" w:rsidRPr="009C095A">
              <w:rPr>
                <w:rFonts w:ascii="Montserrat" w:hAnsi="Montserrat"/>
                <w:sz w:val="22"/>
                <w:szCs w:val="22"/>
              </w:rPr>
              <w:t>s the</w:t>
            </w:r>
            <w:r w:rsidR="00C06768" w:rsidRPr="009C095A">
              <w:rPr>
                <w:rFonts w:ascii="Montserrat" w:hAnsi="Montserrat"/>
                <w:sz w:val="22"/>
                <w:szCs w:val="22"/>
              </w:rPr>
              <w:t xml:space="preserve"> </w:t>
            </w:r>
            <w:r w:rsidR="00C06768" w:rsidRPr="009C095A">
              <w:rPr>
                <w:rFonts w:ascii="Montserrat" w:hAnsi="Montserrat"/>
                <w:sz w:val="22"/>
                <w:szCs w:val="22"/>
              </w:rPr>
              <w:t>terms</w:t>
            </w:r>
            <w:r w:rsidR="00C06768" w:rsidRPr="009C095A">
              <w:rPr>
                <w:rFonts w:ascii="Montserrat" w:hAnsi="Montserrat"/>
                <w:sz w:val="22"/>
                <w:szCs w:val="22"/>
              </w:rPr>
              <w:t xml:space="preserve"> </w:t>
            </w:r>
            <w:r w:rsidR="00C06768" w:rsidRPr="009C095A">
              <w:rPr>
                <w:rFonts w:ascii="Montserrat" w:hAnsi="Montserrat"/>
                <w:i/>
                <w:sz w:val="22"/>
                <w:szCs w:val="22"/>
              </w:rPr>
              <w:t>everyday</w:t>
            </w:r>
            <w:r w:rsidR="00C06768" w:rsidRPr="009C095A">
              <w:rPr>
                <w:rFonts w:ascii="Montserrat" w:hAnsi="Montserrat"/>
                <w:sz w:val="22"/>
                <w:szCs w:val="22"/>
              </w:rPr>
              <w:t xml:space="preserve"> foods and </w:t>
            </w:r>
            <w:r w:rsidR="00C06768" w:rsidRPr="009C095A">
              <w:rPr>
                <w:rFonts w:ascii="Montserrat" w:hAnsi="Montserrat"/>
                <w:i/>
                <w:sz w:val="22"/>
                <w:szCs w:val="22"/>
              </w:rPr>
              <w:t>sometimes</w:t>
            </w:r>
            <w:r w:rsidR="00C06768" w:rsidRPr="009C095A">
              <w:rPr>
                <w:rFonts w:ascii="Montserrat" w:hAnsi="Montserrat"/>
                <w:sz w:val="22"/>
                <w:szCs w:val="22"/>
              </w:rPr>
              <w:t xml:space="preserve"> foods</w:t>
            </w:r>
            <w:r w:rsidR="009C095A" w:rsidRPr="009C095A">
              <w:rPr>
                <w:rFonts w:ascii="Montserrat" w:hAnsi="Montserrat"/>
                <w:sz w:val="22"/>
                <w:szCs w:val="22"/>
              </w:rPr>
              <w:t xml:space="preserve"> and</w:t>
            </w:r>
            <w:r w:rsidR="00C06768" w:rsidRPr="009C095A">
              <w:rPr>
                <w:rFonts w:ascii="Montserrat" w:hAnsi="Montserrat"/>
                <w:sz w:val="22"/>
                <w:szCs w:val="22"/>
              </w:rPr>
              <w:t xml:space="preserve"> educator</w:t>
            </w:r>
            <w:r w:rsidR="009C095A" w:rsidRPr="009C095A">
              <w:rPr>
                <w:rFonts w:ascii="Montserrat" w:hAnsi="Montserrat"/>
                <w:sz w:val="22"/>
                <w:szCs w:val="22"/>
              </w:rPr>
              <w:t>s</w:t>
            </w:r>
            <w:r w:rsidR="00C06768" w:rsidRPr="009C095A">
              <w:rPr>
                <w:rFonts w:ascii="Montserrat" w:hAnsi="Montserrat"/>
                <w:sz w:val="22"/>
                <w:szCs w:val="22"/>
              </w:rPr>
              <w:t xml:space="preserve"> le</w:t>
            </w:r>
            <w:r w:rsidR="009C095A" w:rsidRPr="009C095A">
              <w:rPr>
                <w:rFonts w:ascii="Montserrat" w:hAnsi="Montserrat"/>
                <w:sz w:val="22"/>
                <w:szCs w:val="22"/>
              </w:rPr>
              <w:t>a</w:t>
            </w:r>
            <w:r w:rsidR="00C06768" w:rsidRPr="009C095A">
              <w:rPr>
                <w:rFonts w:ascii="Montserrat" w:hAnsi="Montserrat"/>
                <w:sz w:val="22"/>
                <w:szCs w:val="22"/>
              </w:rPr>
              <w:t>d discussions around healthy food choices</w:t>
            </w:r>
            <w:r w:rsidR="009C095A" w:rsidRPr="009C095A">
              <w:rPr>
                <w:rFonts w:ascii="Montserrat" w:hAnsi="Montserrat"/>
                <w:sz w:val="22"/>
                <w:szCs w:val="22"/>
              </w:rPr>
              <w:t>. This is further explored through hands on cooking experiences whe</w:t>
            </w:r>
            <w:r w:rsidR="009C095A">
              <w:rPr>
                <w:rFonts w:ascii="Montserrat" w:hAnsi="Montserrat"/>
                <w:sz w:val="22"/>
                <w:szCs w:val="22"/>
              </w:rPr>
              <w:t xml:space="preserve">re </w:t>
            </w:r>
            <w:r w:rsidR="009C095A" w:rsidRPr="009C095A">
              <w:rPr>
                <w:rFonts w:ascii="Montserrat" w:hAnsi="Montserrat"/>
                <w:sz w:val="22"/>
                <w:szCs w:val="22"/>
              </w:rPr>
              <w:t>children are encourage</w:t>
            </w:r>
            <w:r w:rsidR="009C095A">
              <w:rPr>
                <w:rFonts w:ascii="Montserrat" w:hAnsi="Montserrat"/>
                <w:sz w:val="22"/>
                <w:szCs w:val="22"/>
              </w:rPr>
              <w:t>d</w:t>
            </w:r>
            <w:r w:rsidR="009C095A" w:rsidRPr="009C095A">
              <w:rPr>
                <w:rFonts w:ascii="Montserrat" w:hAnsi="Montserrat"/>
                <w:sz w:val="22"/>
                <w:szCs w:val="22"/>
              </w:rPr>
              <w:t xml:space="preserve"> to engage in rich discussion and exploration of healthy foods. </w:t>
            </w:r>
          </w:p>
          <w:p w:rsidR="00A040AA" w:rsidRPr="0038260B" w:rsidRDefault="00A040AA" w:rsidP="0038260B">
            <w:pPr>
              <w:pStyle w:val="ListParagraph"/>
              <w:numPr>
                <w:ilvl w:val="0"/>
                <w:numId w:val="3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Educators role model healthy food and drink choices and sit to eat with children, engaging them in discussions about healthy food choices.  </w:t>
            </w: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spacing w:line="276" w:lineRule="auto"/>
              <w:rPr>
                <w:rFonts w:cs="Arial"/>
                <w:b/>
                <w:bCs/>
                <w:szCs w:val="22"/>
              </w:rPr>
            </w:pPr>
            <w:r w:rsidRPr="000F13A7">
              <w:rPr>
                <w:rFonts w:cs="Arial"/>
                <w:b/>
                <w:bCs/>
                <w:szCs w:val="22"/>
              </w:rPr>
              <w:lastRenderedPageBreak/>
              <w:t>Storing and reheating food</w:t>
            </w:r>
          </w:p>
          <w:p w:rsidR="00A040AA" w:rsidRPr="000F13A7" w:rsidRDefault="00A040AA" w:rsidP="00C2691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rsidR="00A040AA" w:rsidRPr="009E5298" w:rsidRDefault="00A040AA" w:rsidP="00A040AA">
            <w:pPr>
              <w:pStyle w:val="ListParagraph"/>
              <w:numPr>
                <w:ilvl w:val="0"/>
                <w:numId w:val="3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E5298">
              <w:rPr>
                <w:rFonts w:ascii="Montserrat" w:hAnsi="Montserrat"/>
                <w:sz w:val="22"/>
                <w:szCs w:val="22"/>
              </w:rPr>
              <w:t xml:space="preserve">Any perishable items brought to preschool by the children are stored safely until they are consumed. </w:t>
            </w:r>
            <w:r w:rsidR="009C095A" w:rsidRPr="009E5298">
              <w:rPr>
                <w:rFonts w:ascii="Montserrat" w:hAnsi="Montserrat"/>
                <w:sz w:val="22"/>
                <w:szCs w:val="22"/>
              </w:rPr>
              <w:t xml:space="preserve">Families are asked to place ice bricks in their child’s lunchbox. </w:t>
            </w:r>
            <w:r w:rsidR="009E5298" w:rsidRPr="009E5298">
              <w:rPr>
                <w:rFonts w:ascii="Montserrat" w:hAnsi="Montserrat"/>
                <w:sz w:val="22"/>
                <w:szCs w:val="22"/>
              </w:rPr>
              <w:t xml:space="preserve">Signs posted above bags offer reminders to staff and children. Where perishable items are in a lunchbox without an ice brick, preschool has spare ice bricks available in the freezer. </w:t>
            </w:r>
          </w:p>
          <w:p w:rsidR="009E5298" w:rsidRPr="009E5298" w:rsidRDefault="009E5298" w:rsidP="00A040AA">
            <w:pPr>
              <w:pStyle w:val="ListParagraph"/>
              <w:numPr>
                <w:ilvl w:val="0"/>
                <w:numId w:val="3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9E5298">
              <w:rPr>
                <w:rFonts w:ascii="Montserrat" w:hAnsi="Montserrat"/>
                <w:sz w:val="22"/>
                <w:szCs w:val="22"/>
              </w:rPr>
              <w:t xml:space="preserve">The fridge is maintained at a temperature below 5 degrees Celsius. </w:t>
            </w:r>
          </w:p>
          <w:p w:rsidR="00A040AA" w:rsidRPr="009E5298" w:rsidRDefault="009E5298" w:rsidP="009E5298">
            <w:pPr>
              <w:pStyle w:val="ListParagraph"/>
              <w:numPr>
                <w:ilvl w:val="0"/>
                <w:numId w:val="3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color w:val="FF0000"/>
                <w:sz w:val="22"/>
                <w:szCs w:val="22"/>
                <w:u w:val="single"/>
              </w:rPr>
            </w:pPr>
            <w:r w:rsidRPr="009E5298">
              <w:rPr>
                <w:rFonts w:ascii="Montserrat" w:hAnsi="Montserrat"/>
                <w:sz w:val="22"/>
                <w:szCs w:val="22"/>
              </w:rPr>
              <w:t xml:space="preserve">Preschool does not reheat children’s food. The microwave is for staff use only. </w:t>
            </w:r>
          </w:p>
        </w:tc>
      </w:tr>
      <w:tr w:rsidR="00A040AA" w:rsidRPr="000F13A7" w:rsidTr="00C2691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spacing w:line="276" w:lineRule="auto"/>
              <w:rPr>
                <w:rFonts w:cs="Arial"/>
                <w:b/>
                <w:bCs/>
                <w:szCs w:val="22"/>
              </w:rPr>
            </w:pPr>
            <w:r w:rsidRPr="000F13A7">
              <w:rPr>
                <w:rFonts w:cs="Arial"/>
                <w:b/>
                <w:bCs/>
                <w:szCs w:val="22"/>
              </w:rPr>
              <w:t>Consuming food at preschool</w:t>
            </w:r>
          </w:p>
          <w:p w:rsidR="00A040AA" w:rsidRPr="000F13A7" w:rsidRDefault="00A040AA" w:rsidP="00C26919">
            <w:pPr>
              <w:pStyle w:val="BodyText"/>
              <w:kinsoku w:val="0"/>
              <w:overflowPunct w:val="0"/>
              <w:spacing w:before="238" w:line="276" w:lineRule="auto"/>
              <w:rPr>
                <w:rFonts w:ascii="Montserrat" w:hAnsi="Montserrat"/>
                <w:b/>
                <w:bCs/>
                <w:szCs w:val="22"/>
              </w:rPr>
            </w:pPr>
          </w:p>
        </w:tc>
        <w:tc>
          <w:tcPr>
            <w:tcW w:w="8358" w:type="dxa"/>
            <w:gridSpan w:val="2"/>
            <w:shd w:val="clear" w:color="auto" w:fill="auto"/>
          </w:tcPr>
          <w:p w:rsidR="00A040AA" w:rsidRPr="000F13A7" w:rsidRDefault="00A040AA" w:rsidP="00A040AA">
            <w:pPr>
              <w:pStyle w:val="ListParagraph"/>
              <w:numPr>
                <w:ilvl w:val="0"/>
                <w:numId w:val="3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Consideration is given to where children with food allergies and at risk of anaphylaxis are seated when eating with the group.</w:t>
            </w:r>
          </w:p>
          <w:p w:rsidR="00A040AA" w:rsidRPr="000F13A7" w:rsidRDefault="00A040AA" w:rsidP="00A040AA">
            <w:pPr>
              <w:pStyle w:val="ListParagraph"/>
              <w:numPr>
                <w:ilvl w:val="0"/>
                <w:numId w:val="3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The children’s food is monitored by t</w:t>
            </w:r>
            <w:r w:rsidRPr="009E5298">
              <w:rPr>
                <w:rFonts w:ascii="Century Gothic" w:hAnsi="Century Gothic"/>
                <w:sz w:val="20"/>
                <w:szCs w:val="20"/>
              </w:rPr>
              <w:t xml:space="preserve">he educators to ensure none contains a trigger food for another child. </w:t>
            </w:r>
            <w:r w:rsidR="009E5298" w:rsidRPr="009E5298">
              <w:rPr>
                <w:rFonts w:ascii="Century Gothic" w:hAnsi="Century Gothic"/>
                <w:sz w:val="20"/>
                <w:szCs w:val="20"/>
              </w:rPr>
              <w:t>An educator sits at each end of the long outdoor eating table.</w:t>
            </w:r>
            <w:r w:rsidR="009E5298" w:rsidRPr="009E5298">
              <w:t xml:space="preserve"> </w:t>
            </w:r>
          </w:p>
          <w:p w:rsidR="00A040AA" w:rsidRPr="000F13A7" w:rsidRDefault="00A040AA" w:rsidP="00A040AA">
            <w:pPr>
              <w:pStyle w:val="ListParagraph"/>
              <w:numPr>
                <w:ilvl w:val="0"/>
                <w:numId w:val="3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children are asked not to share food with other children.</w:t>
            </w:r>
          </w:p>
          <w:p w:rsidR="00A040AA" w:rsidRPr="000F13A7" w:rsidRDefault="00A040AA" w:rsidP="00A040AA">
            <w:pPr>
              <w:pStyle w:val="ListParagraph"/>
              <w:numPr>
                <w:ilvl w:val="0"/>
                <w:numId w:val="3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Special events such as birthday celebrations or class parties which involve the sharing of food are closely monitored to </w:t>
            </w:r>
            <w:proofErr w:type="spellStart"/>
            <w:r w:rsidRPr="000F13A7">
              <w:rPr>
                <w:rFonts w:ascii="Montserrat" w:hAnsi="Montserrat"/>
                <w:sz w:val="22"/>
                <w:szCs w:val="22"/>
              </w:rPr>
              <w:t>minimise</w:t>
            </w:r>
            <w:proofErr w:type="spellEnd"/>
            <w:r w:rsidRPr="000F13A7">
              <w:rPr>
                <w:rFonts w:ascii="Montserrat" w:hAnsi="Montserrat"/>
                <w:sz w:val="22"/>
                <w:szCs w:val="22"/>
              </w:rPr>
              <w:t xml:space="preserve"> risks of food contamination and the consumption of trigger foods. </w:t>
            </w:r>
            <w:r w:rsidR="009E5298">
              <w:rPr>
                <w:rFonts w:ascii="Montserrat" w:hAnsi="Montserrat"/>
                <w:sz w:val="22"/>
                <w:szCs w:val="22"/>
              </w:rPr>
              <w:t xml:space="preserve">Children with known allergies are asked to bring an alternative food for such occasions and their families are informed. Food remains covered, tongs are used are reusable cutlery is washed in the dishwasher after each use.  </w:t>
            </w:r>
          </w:p>
          <w:p w:rsidR="00A040AA" w:rsidRPr="009E5298" w:rsidRDefault="00A040AA" w:rsidP="009E5298">
            <w:pPr>
              <w:pStyle w:val="ListParagraph"/>
              <w:numPr>
                <w:ilvl w:val="0"/>
                <w:numId w:val="3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9E5298">
              <w:rPr>
                <w:rFonts w:ascii="Century Gothic" w:hAnsi="Century Gothic"/>
                <w:sz w:val="22"/>
                <w:szCs w:val="22"/>
              </w:rPr>
              <w:lastRenderedPageBreak/>
              <w:t xml:space="preserve">Food handling spaces are kept clean and hygienic. </w:t>
            </w:r>
            <w:proofErr w:type="spellStart"/>
            <w:r w:rsidR="009E5298" w:rsidRPr="009E5298">
              <w:rPr>
                <w:rFonts w:ascii="Century Gothic" w:hAnsi="Century Gothic"/>
                <w:sz w:val="22"/>
                <w:szCs w:val="22"/>
              </w:rPr>
              <w:t>Colour</w:t>
            </w:r>
            <w:proofErr w:type="spellEnd"/>
            <w:r w:rsidR="009E5298" w:rsidRPr="009E5298">
              <w:rPr>
                <w:rFonts w:ascii="Century Gothic" w:hAnsi="Century Gothic"/>
                <w:sz w:val="22"/>
                <w:szCs w:val="22"/>
              </w:rPr>
              <w:t xml:space="preserve"> coded cloths are used to avoid cross contamination and washed on high heat – at least weekly, benches and cutting boards are sanitized before and after use and </w:t>
            </w:r>
            <w:r w:rsidRPr="009E5298">
              <w:rPr>
                <w:rFonts w:ascii="Century Gothic" w:hAnsi="Century Gothic"/>
                <w:sz w:val="22"/>
                <w:szCs w:val="22"/>
              </w:rPr>
              <w:t>food preparation implements are not used for any other purpose.</w:t>
            </w:r>
          </w:p>
          <w:p w:rsidR="00A040AA" w:rsidRPr="000F13A7" w:rsidRDefault="00A040AA" w:rsidP="00A040AA">
            <w:pPr>
              <w:pStyle w:val="ListParagraph"/>
              <w:numPr>
                <w:ilvl w:val="0"/>
                <w:numId w:val="3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Food is not used as an incentive or reward throughout the day.</w:t>
            </w:r>
          </w:p>
          <w:p w:rsidR="00A040AA" w:rsidRPr="000F13A7" w:rsidRDefault="00A040AA" w:rsidP="00C26919">
            <w:pPr>
              <w:pStyle w:val="ListParagraph"/>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A040AA" w:rsidRPr="000F13A7" w:rsidTr="00C2691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A040AA" w:rsidRPr="000F13A7" w:rsidRDefault="00A040AA" w:rsidP="00C26919">
            <w:pPr>
              <w:spacing w:line="276" w:lineRule="auto"/>
              <w:rPr>
                <w:rFonts w:cs="Arial"/>
                <w:b/>
                <w:bCs/>
                <w:szCs w:val="22"/>
              </w:rPr>
            </w:pPr>
            <w:r w:rsidRPr="000F13A7">
              <w:rPr>
                <w:rFonts w:cs="Arial"/>
                <w:b/>
                <w:bCs/>
                <w:szCs w:val="22"/>
              </w:rPr>
              <w:lastRenderedPageBreak/>
              <w:t>Cooking with children</w:t>
            </w:r>
          </w:p>
          <w:p w:rsidR="00A040AA" w:rsidRPr="000F13A7" w:rsidRDefault="00A040AA" w:rsidP="00C26919">
            <w:pPr>
              <w:spacing w:line="276" w:lineRule="auto"/>
              <w:rPr>
                <w:rFonts w:cs="Arial"/>
                <w:b/>
                <w:bCs/>
                <w:szCs w:val="22"/>
              </w:rPr>
            </w:pPr>
          </w:p>
        </w:tc>
        <w:tc>
          <w:tcPr>
            <w:tcW w:w="8358" w:type="dxa"/>
            <w:gridSpan w:val="2"/>
            <w:shd w:val="clear" w:color="auto" w:fill="auto"/>
          </w:tcPr>
          <w:p w:rsidR="00A040AA" w:rsidRPr="000F13A7" w:rsidRDefault="00A040AA" w:rsidP="00A040AA">
            <w:pPr>
              <w:pStyle w:val="ListParagraph"/>
              <w:numPr>
                <w:ilvl w:val="0"/>
                <w:numId w:val="3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Before cooking activities, all children and adults wash and dry their hands thoroughly.</w:t>
            </w:r>
          </w:p>
          <w:p w:rsidR="00A040AA" w:rsidRPr="000F13A7" w:rsidRDefault="00A040AA" w:rsidP="00A040AA">
            <w:pPr>
              <w:pStyle w:val="ListParagraph"/>
              <w:numPr>
                <w:ilvl w:val="0"/>
                <w:numId w:val="3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As directed by department policy, peanuts, tree nuts or any nut produce are not used in any cooking activity (this does not include foods labelled as ‘may contain traces of nuts’). Additionally, any ingredient for which a currently enrolled child has a known allergy, intolerance or is at risk of anaphylaxis for, is not used.</w:t>
            </w:r>
          </w:p>
          <w:p w:rsidR="00A040AA" w:rsidRPr="0038260B" w:rsidRDefault="00A040AA" w:rsidP="0038260B">
            <w:pPr>
              <w:pStyle w:val="ListParagraph"/>
              <w:numPr>
                <w:ilvl w:val="0"/>
                <w:numId w:val="3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Children who have had vomiting or </w:t>
            </w:r>
            <w:proofErr w:type="spellStart"/>
            <w:r w:rsidRPr="000F13A7">
              <w:rPr>
                <w:rFonts w:ascii="Montserrat" w:hAnsi="Montserrat"/>
                <w:sz w:val="22"/>
                <w:szCs w:val="22"/>
              </w:rPr>
              <w:t>diarrhoea</w:t>
            </w:r>
            <w:proofErr w:type="spellEnd"/>
            <w:r w:rsidRPr="000F13A7">
              <w:rPr>
                <w:rFonts w:ascii="Montserrat" w:hAnsi="Montserrat"/>
                <w:sz w:val="22"/>
                <w:szCs w:val="22"/>
              </w:rPr>
              <w:t xml:space="preserve"> do not participate until they have been symptom - free for 48 hours. If the preschool has recently had, or is currently experiencing, an outbreak of gastrointestinal disease, no cooking activities are held. </w:t>
            </w:r>
          </w:p>
        </w:tc>
      </w:tr>
    </w:tbl>
    <w:p w:rsidR="00DF4AB2" w:rsidRPr="000F13A7" w:rsidRDefault="00DF4AB2" w:rsidP="00DF4AB2">
      <w:pPr>
        <w:rPr>
          <w:rFonts w:cs="Arial"/>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4AB2" w:rsidRPr="000F13A7" w:rsidTr="00C2691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DF4AB2" w:rsidRPr="000F13A7" w:rsidRDefault="00DF4AB2" w:rsidP="00C2691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4AB2" w:rsidRPr="000F13A7" w:rsidTr="00C2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F4AB2" w:rsidRPr="000F13A7" w:rsidRDefault="00DF4AB2" w:rsidP="00C26919">
            <w:pPr>
              <w:spacing w:line="276" w:lineRule="auto"/>
              <w:rPr>
                <w:rFonts w:cs="Arial"/>
                <w:b/>
                <w:bCs/>
                <w:szCs w:val="22"/>
                <w:lang w:eastAsia="zh-CN"/>
              </w:rPr>
            </w:pPr>
            <w:r w:rsidRPr="000F13A7">
              <w:rPr>
                <w:rFonts w:cs="Arial"/>
                <w:b/>
                <w:bCs/>
                <w:szCs w:val="22"/>
              </w:rPr>
              <w:t>Date of review and who was involved</w:t>
            </w:r>
          </w:p>
        </w:tc>
      </w:tr>
      <w:tr w:rsidR="00DF4AB2" w:rsidRPr="000F13A7"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DF4AB2" w:rsidRPr="000F13A7" w:rsidRDefault="0038260B" w:rsidP="00C26919">
            <w:pPr>
              <w:spacing w:line="276" w:lineRule="auto"/>
              <w:rPr>
                <w:rFonts w:cs="Arial"/>
                <w:szCs w:val="22"/>
                <w:lang w:eastAsia="zh-CN"/>
              </w:rPr>
            </w:pPr>
            <w:r>
              <w:rPr>
                <w:rFonts w:cs="Arial"/>
                <w:szCs w:val="22"/>
                <w:lang w:eastAsia="zh-CN"/>
              </w:rPr>
              <w:t>Emily Roalfe 19/5/2021, all staff and family input sought through story park</w:t>
            </w:r>
          </w:p>
        </w:tc>
      </w:tr>
      <w:tr w:rsidR="00DF4AB2" w:rsidRPr="000F13A7" w:rsidTr="00C2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F4AB2" w:rsidRPr="000F13A7" w:rsidRDefault="00DF4AB2" w:rsidP="00C26919">
            <w:pPr>
              <w:spacing w:line="276" w:lineRule="auto"/>
              <w:rPr>
                <w:rFonts w:cs="Arial"/>
                <w:b/>
                <w:bCs/>
                <w:szCs w:val="22"/>
                <w:lang w:eastAsia="zh-CN"/>
              </w:rPr>
            </w:pPr>
            <w:r w:rsidRPr="000F13A7">
              <w:rPr>
                <w:rFonts w:cs="Arial"/>
                <w:b/>
                <w:bCs/>
                <w:szCs w:val="22"/>
              </w:rPr>
              <w:t>Key changes made and reason/s why</w:t>
            </w:r>
          </w:p>
        </w:tc>
      </w:tr>
      <w:tr w:rsidR="00DF4AB2" w:rsidRPr="000F13A7"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DF4AB2" w:rsidRPr="000F13A7" w:rsidRDefault="0038260B" w:rsidP="00C26919">
            <w:pPr>
              <w:spacing w:line="276" w:lineRule="auto"/>
              <w:rPr>
                <w:rFonts w:cs="Arial"/>
                <w:szCs w:val="22"/>
                <w:lang w:eastAsia="zh-CN"/>
              </w:rPr>
            </w:pPr>
            <w:r>
              <w:rPr>
                <w:rFonts w:cs="Arial"/>
                <w:szCs w:val="22"/>
                <w:lang w:eastAsia="zh-CN"/>
              </w:rPr>
              <w:t>Update from old template to new template. Minor changes as needed.</w:t>
            </w:r>
          </w:p>
        </w:tc>
      </w:tr>
      <w:tr w:rsidR="00DF4AB2" w:rsidRPr="000F13A7" w:rsidTr="00C2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F4AB2" w:rsidRPr="000F13A7" w:rsidRDefault="00DF4AB2" w:rsidP="00C2691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4AB2" w:rsidRPr="000F13A7" w:rsidTr="00C2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rsidR="00DF4AB2" w:rsidRPr="000F13A7" w:rsidRDefault="0038260B" w:rsidP="00C26919">
            <w:pPr>
              <w:spacing w:before="192" w:after="0" w:line="276" w:lineRule="auto"/>
              <w:rPr>
                <w:rFonts w:cs="Arial"/>
                <w:szCs w:val="22"/>
                <w:lang w:eastAsia="zh-CN"/>
              </w:rPr>
            </w:pPr>
            <w:r>
              <w:rPr>
                <w:rFonts w:cs="Arial"/>
                <w:szCs w:val="22"/>
                <w:lang w:eastAsia="zh-CN"/>
              </w:rPr>
              <w:t>Communicated with core staff 19/5/2022 with printed policy to review in detail.</w:t>
            </w:r>
          </w:p>
        </w:tc>
      </w:tr>
    </w:tbl>
    <w:p w:rsidR="00DF4AB2" w:rsidRPr="000F13A7" w:rsidRDefault="00DF4AB2" w:rsidP="00DF4AB2">
      <w:pPr>
        <w:jc w:val="right"/>
        <w:rPr>
          <w:rFonts w:cs="Arial"/>
          <w:i/>
        </w:rPr>
      </w:pPr>
      <w:r w:rsidRPr="000F13A7">
        <w:rPr>
          <w:rFonts w:cs="Arial"/>
          <w:i/>
        </w:rPr>
        <w:t>Copy and paste a new table to record each occasion the procedure is reviewed.</w:t>
      </w:r>
    </w:p>
    <w:p w:rsidR="00256CE0" w:rsidRPr="0038260B" w:rsidRDefault="00256CE0" w:rsidP="0038260B">
      <w:pPr>
        <w:spacing w:line="276" w:lineRule="auto"/>
        <w:rPr>
          <w:rFonts w:cs="Arial"/>
          <w:i/>
          <w:iCs/>
          <w:color w:val="FF0000"/>
        </w:rPr>
      </w:pPr>
    </w:p>
    <w:sectPr w:rsidR="00256CE0" w:rsidRPr="0038260B" w:rsidSect="00A45A3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71" w:rsidRDefault="00B72A71" w:rsidP="00B72A71">
      <w:pPr>
        <w:spacing w:before="0" w:after="0" w:line="240" w:lineRule="auto"/>
      </w:pPr>
      <w:r>
        <w:separator/>
      </w:r>
    </w:p>
  </w:endnote>
  <w:endnote w:type="continuationSeparator" w:id="0">
    <w:p w:rsidR="00B72A71" w:rsidRDefault="00B72A71" w:rsidP="00B72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5D" w:rsidRDefault="00D956A9">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 xml:space="preserve">Page </w:t>
    </w:r>
    <w:r w:rsidR="00754C5D">
      <w:t xml:space="preserve">Casino Public School Localised Procedure </w:t>
    </w:r>
    <w:r w:rsidR="00754C5D">
      <w:tab/>
      <w:t xml:space="preserve">Reviewed: </w:t>
    </w:r>
    <w:r w:rsidR="009469C0">
      <w:t>19/5</w:t>
    </w:r>
    <w:r w:rsidR="00754C5D">
      <w:t>202</w:t>
    </w:r>
    <w:r w:rsidR="00881E8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71" w:rsidRDefault="00B72A71" w:rsidP="00B72A71">
      <w:pPr>
        <w:spacing w:before="0" w:after="0" w:line="240" w:lineRule="auto"/>
      </w:pPr>
      <w:r>
        <w:separator/>
      </w:r>
    </w:p>
  </w:footnote>
  <w:footnote w:type="continuationSeparator" w:id="0">
    <w:p w:rsidR="00B72A71" w:rsidRDefault="00B72A71" w:rsidP="00B72A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71" w:rsidRDefault="00B72A71" w:rsidP="00754C5D">
    <w:pPr>
      <w:pStyle w:val="Header"/>
      <w:jc w:val="right"/>
      <w:rPr>
        <w:sz w:val="32"/>
      </w:rPr>
    </w:pPr>
    <w:r w:rsidRPr="00B72A71">
      <w:rPr>
        <w:noProof/>
        <w:sz w:val="32"/>
      </w:rPr>
      <w:drawing>
        <wp:anchor distT="0" distB="0" distL="114300" distR="114300" simplePos="0" relativeHeight="251659264" behindDoc="1" locked="0" layoutInCell="1" allowOverlap="1" wp14:anchorId="5A120C2E" wp14:editId="016A2A4A">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rsidR="00754C5D" w:rsidRPr="00B72A71" w:rsidRDefault="00754C5D" w:rsidP="00754C5D">
    <w:pPr>
      <w:pStyle w:val="Header"/>
      <w:jc w:val="right"/>
      <w:rPr>
        <w:sz w:val="32"/>
      </w:rPr>
    </w:pPr>
    <w:r>
      <w:rPr>
        <w:sz w:val="32"/>
      </w:rPr>
      <w:t>Localised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3F805F6A"/>
    <w:lvl w:ilvl="0" w:tplc="FC0AAB18">
      <w:start w:val="1"/>
      <w:numFmt w:val="bullet"/>
      <w:pStyle w:val="ListBullet"/>
      <w:lvlText w:val=""/>
      <w:lvlJc w:val="left"/>
      <w:pPr>
        <w:tabs>
          <w:tab w:val="num" w:pos="3795"/>
        </w:tabs>
        <w:ind w:left="3795"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3E3AC09E"/>
    <w:lvl w:ilvl="0" w:tplc="11F8BED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D2D82"/>
    <w:multiLevelType w:val="hybridMultilevel"/>
    <w:tmpl w:val="C7628350"/>
    <w:lvl w:ilvl="0" w:tplc="F96A0A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501E3"/>
    <w:multiLevelType w:val="hybridMultilevel"/>
    <w:tmpl w:val="8F1464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54EFD"/>
    <w:multiLevelType w:val="hybridMultilevel"/>
    <w:tmpl w:val="BBC28A4E"/>
    <w:lvl w:ilvl="0" w:tplc="4E1020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916A3"/>
    <w:multiLevelType w:val="hybridMultilevel"/>
    <w:tmpl w:val="DD1E6B80"/>
    <w:lvl w:ilvl="0" w:tplc="6A688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C3887"/>
    <w:multiLevelType w:val="hybridMultilevel"/>
    <w:tmpl w:val="7A2A2F38"/>
    <w:lvl w:ilvl="0" w:tplc="F9667C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D4762"/>
    <w:multiLevelType w:val="hybridMultilevel"/>
    <w:tmpl w:val="55C4DB88"/>
    <w:lvl w:ilvl="0" w:tplc="6ED66E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60741"/>
    <w:multiLevelType w:val="hybridMultilevel"/>
    <w:tmpl w:val="D19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E4182"/>
    <w:multiLevelType w:val="hybridMultilevel"/>
    <w:tmpl w:val="19C2AC4E"/>
    <w:lvl w:ilvl="0" w:tplc="BFDE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23"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F24E6E"/>
    <w:multiLevelType w:val="hybridMultilevel"/>
    <w:tmpl w:val="33FE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B0050"/>
    <w:multiLevelType w:val="hybridMultilevel"/>
    <w:tmpl w:val="80A25B32"/>
    <w:lvl w:ilvl="0" w:tplc="1EF86C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3526C5"/>
    <w:multiLevelType w:val="hybridMultilevel"/>
    <w:tmpl w:val="FFF04360"/>
    <w:lvl w:ilvl="0" w:tplc="441E95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E952A6"/>
    <w:multiLevelType w:val="hybridMultilevel"/>
    <w:tmpl w:val="F0BCEC94"/>
    <w:lvl w:ilvl="0" w:tplc="B10A5D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6"/>
  </w:num>
  <w:num w:numId="5">
    <w:abstractNumId w:val="36"/>
  </w:num>
  <w:num w:numId="6">
    <w:abstractNumId w:val="17"/>
  </w:num>
  <w:num w:numId="7">
    <w:abstractNumId w:val="10"/>
  </w:num>
  <w:num w:numId="8">
    <w:abstractNumId w:val="3"/>
  </w:num>
  <w:num w:numId="9">
    <w:abstractNumId w:val="7"/>
  </w:num>
  <w:num w:numId="10">
    <w:abstractNumId w:val="1"/>
  </w:num>
  <w:num w:numId="11">
    <w:abstractNumId w:val="19"/>
  </w:num>
  <w:num w:numId="12">
    <w:abstractNumId w:val="15"/>
  </w:num>
  <w:num w:numId="13">
    <w:abstractNumId w:val="9"/>
  </w:num>
  <w:num w:numId="14">
    <w:abstractNumId w:val="23"/>
  </w:num>
  <w:num w:numId="15">
    <w:abstractNumId w:val="35"/>
  </w:num>
  <w:num w:numId="16">
    <w:abstractNumId w:val="21"/>
  </w:num>
  <w:num w:numId="17">
    <w:abstractNumId w:val="24"/>
  </w:num>
  <w:num w:numId="18">
    <w:abstractNumId w:val="6"/>
  </w:num>
  <w:num w:numId="19">
    <w:abstractNumId w:val="30"/>
  </w:num>
  <w:num w:numId="20">
    <w:abstractNumId w:val="14"/>
  </w:num>
  <w:num w:numId="21">
    <w:abstractNumId w:val="2"/>
  </w:num>
  <w:num w:numId="22">
    <w:abstractNumId w:val="5"/>
  </w:num>
  <w:num w:numId="23">
    <w:abstractNumId w:val="12"/>
  </w:num>
  <w:num w:numId="24">
    <w:abstractNumId w:val="29"/>
  </w:num>
  <w:num w:numId="25">
    <w:abstractNumId w:val="18"/>
  </w:num>
  <w:num w:numId="26">
    <w:abstractNumId w:val="37"/>
  </w:num>
  <w:num w:numId="27">
    <w:abstractNumId w:val="27"/>
  </w:num>
  <w:num w:numId="28">
    <w:abstractNumId w:val="34"/>
  </w:num>
  <w:num w:numId="29">
    <w:abstractNumId w:val="13"/>
  </w:num>
  <w:num w:numId="30">
    <w:abstractNumId w:val="32"/>
  </w:num>
  <w:num w:numId="31">
    <w:abstractNumId w:val="38"/>
  </w:num>
  <w:num w:numId="32">
    <w:abstractNumId w:val="16"/>
  </w:num>
  <w:num w:numId="33">
    <w:abstractNumId w:val="28"/>
  </w:num>
  <w:num w:numId="34">
    <w:abstractNumId w:val="8"/>
  </w:num>
  <w:num w:numId="35">
    <w:abstractNumId w:val="4"/>
  </w:num>
  <w:num w:numId="36">
    <w:abstractNumId w:val="20"/>
  </w:num>
  <w:num w:numId="37">
    <w:abstractNumId w:val="31"/>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1"/>
    <w:rsid w:val="000D28BE"/>
    <w:rsid w:val="001E4D0C"/>
    <w:rsid w:val="001E7080"/>
    <w:rsid w:val="0021306D"/>
    <w:rsid w:val="00231D84"/>
    <w:rsid w:val="00256CE0"/>
    <w:rsid w:val="00262CA9"/>
    <w:rsid w:val="002732A0"/>
    <w:rsid w:val="002E19AC"/>
    <w:rsid w:val="00342FDC"/>
    <w:rsid w:val="0038260B"/>
    <w:rsid w:val="003F68DC"/>
    <w:rsid w:val="00400345"/>
    <w:rsid w:val="0045735A"/>
    <w:rsid w:val="004B3B85"/>
    <w:rsid w:val="004E5977"/>
    <w:rsid w:val="004F0B61"/>
    <w:rsid w:val="005465E4"/>
    <w:rsid w:val="005C3DAA"/>
    <w:rsid w:val="006938C3"/>
    <w:rsid w:val="006A2F58"/>
    <w:rsid w:val="006B5880"/>
    <w:rsid w:val="00707031"/>
    <w:rsid w:val="00712605"/>
    <w:rsid w:val="0073613D"/>
    <w:rsid w:val="00754C5D"/>
    <w:rsid w:val="008303F5"/>
    <w:rsid w:val="00881E8F"/>
    <w:rsid w:val="0089721C"/>
    <w:rsid w:val="00905228"/>
    <w:rsid w:val="00921725"/>
    <w:rsid w:val="009404D0"/>
    <w:rsid w:val="009469C0"/>
    <w:rsid w:val="0096061C"/>
    <w:rsid w:val="009666BB"/>
    <w:rsid w:val="009C095A"/>
    <w:rsid w:val="009E5298"/>
    <w:rsid w:val="00A040AA"/>
    <w:rsid w:val="00A45A3B"/>
    <w:rsid w:val="00A46848"/>
    <w:rsid w:val="00B310C7"/>
    <w:rsid w:val="00B72A71"/>
    <w:rsid w:val="00B74DBA"/>
    <w:rsid w:val="00C05D63"/>
    <w:rsid w:val="00C06768"/>
    <w:rsid w:val="00C345AC"/>
    <w:rsid w:val="00C850E3"/>
    <w:rsid w:val="00D55E74"/>
    <w:rsid w:val="00D956A9"/>
    <w:rsid w:val="00DD0C27"/>
    <w:rsid w:val="00DD489E"/>
    <w:rsid w:val="00DF4AB2"/>
    <w:rsid w:val="00E01FCC"/>
    <w:rsid w:val="00E838A1"/>
    <w:rsid w:val="00F74CA4"/>
    <w:rsid w:val="00FA2D42"/>
    <w:rsid w:val="00FB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D8887"/>
  <w15:chartTrackingRefBased/>
  <w15:docId w15:val="{860B6FEB-297C-42C0-97F1-A1724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2A7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B72A7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B72A7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B72A71"/>
    <w:rPr>
      <w:color w:val="2F5496" w:themeColor="accent1" w:themeShade="BF"/>
      <w:u w:val="single"/>
    </w:rPr>
  </w:style>
  <w:style w:type="table" w:customStyle="1" w:styleId="Tableheader">
    <w:name w:val="ŠTable header"/>
    <w:basedOn w:val="TableNormal"/>
    <w:uiPriority w:val="99"/>
    <w:rsid w:val="00B72A7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B72A71"/>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B72A71"/>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B72A71"/>
    <w:pPr>
      <w:numPr>
        <w:numId w:val="2"/>
      </w:numPr>
      <w:spacing w:before="120" w:line="264" w:lineRule="auto"/>
    </w:pPr>
  </w:style>
  <w:style w:type="paragraph" w:styleId="BodyText">
    <w:name w:val="Body Text"/>
    <w:basedOn w:val="Normal"/>
    <w:link w:val="BodyTextChar"/>
    <w:uiPriority w:val="1"/>
    <w:qFormat/>
    <w:rsid w:val="00B72A71"/>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B72A71"/>
    <w:rPr>
      <w:rFonts w:ascii="Arial" w:eastAsia="Arial" w:hAnsi="Arial" w:cs="Arial"/>
      <w:sz w:val="24"/>
      <w:szCs w:val="24"/>
      <w:lang w:eastAsia="en-AU" w:bidi="en-AU"/>
    </w:rPr>
  </w:style>
  <w:style w:type="paragraph" w:customStyle="1" w:styleId="TableParagraph">
    <w:name w:val="Table Paragraph"/>
    <w:basedOn w:val="Normal"/>
    <w:uiPriority w:val="1"/>
    <w:qFormat/>
    <w:rsid w:val="00B72A71"/>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B72A71"/>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B72A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2A71"/>
    <w:rPr>
      <w:rFonts w:ascii="Montserrat" w:hAnsi="Montserrat"/>
      <w:sz w:val="20"/>
      <w:szCs w:val="24"/>
    </w:rPr>
  </w:style>
  <w:style w:type="paragraph" w:styleId="Footer">
    <w:name w:val="footer"/>
    <w:basedOn w:val="Normal"/>
    <w:link w:val="FooterChar"/>
    <w:uiPriority w:val="99"/>
    <w:unhideWhenUsed/>
    <w:rsid w:val="00B72A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2A71"/>
    <w:rPr>
      <w:rFonts w:ascii="Montserrat" w:hAnsi="Montserrat"/>
      <w:sz w:val="20"/>
      <w:szCs w:val="24"/>
    </w:rPr>
  </w:style>
  <w:style w:type="paragraph" w:styleId="BalloonText">
    <w:name w:val="Balloon Text"/>
    <w:basedOn w:val="Normal"/>
    <w:link w:val="BalloonTextChar"/>
    <w:uiPriority w:val="99"/>
    <w:semiHidden/>
    <w:unhideWhenUsed/>
    <w:rsid w:val="004003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45"/>
    <w:rPr>
      <w:rFonts w:ascii="Segoe UI" w:hAnsi="Segoe UI" w:cs="Segoe UI"/>
      <w:sz w:val="18"/>
      <w:szCs w:val="18"/>
    </w:rPr>
  </w:style>
  <w:style w:type="character" w:customStyle="1" w:styleId="color-dark-green">
    <w:name w:val="color-dark-green"/>
    <w:basedOn w:val="DefaultParagraphFont"/>
    <w:rsid w:val="003F68DC"/>
  </w:style>
  <w:style w:type="character" w:customStyle="1" w:styleId="normaltextrun">
    <w:name w:val="normaltextrun"/>
    <w:basedOn w:val="DefaultParagraphFont"/>
    <w:rsid w:val="00DF4AB2"/>
  </w:style>
  <w:style w:type="character" w:customStyle="1" w:styleId="eop">
    <w:name w:val="eop"/>
    <w:basedOn w:val="DefaultParagraphFont"/>
    <w:rsid w:val="00DF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whole/html/inforce/current/sl-2011-0653" TargetMode="External"/><Relationship Id="rId13" Type="http://schemas.openxmlformats.org/officeDocument/2006/relationships/hyperlink" Target="https://www.allergy.org.au/images/stories/pospapers/Vale_et_al-2015-Journal_of_Paediatrics_and_Child_Health.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nsw.gov.au/view/whole/html/inforce/current/sl-2011-0653" TargetMode="External"/><Relationship Id="rId12" Type="http://schemas.openxmlformats.org/officeDocument/2006/relationships/hyperlink" Target="https://education.nsw.gov.au/content/dam/main-education/student-wellbeing/health-and-physical-care/media/documents/anacurric.pdf" TargetMode="External"/><Relationship Id="rId17" Type="http://schemas.openxmlformats.org/officeDocument/2006/relationships/hyperlink" Target="https://www.eatforhealth.gov.au/guidelines" TargetMode="External"/><Relationship Id="rId2" Type="http://schemas.openxmlformats.org/officeDocument/2006/relationships/styles" Target="styles.xml"/><Relationship Id="rId16" Type="http://schemas.openxmlformats.org/officeDocument/2006/relationships/hyperlink" Target="https://www.eatforhealth.gov.au/sites/default/files/content/The%20Guidelines/n55a_australian_dietary_guidelines_summary_131014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education.nsw.gov.au/policy-library/policies/nutrition-in-schools-policy"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healthykids.nsw.gov.au/munch-move-resources/" TargetMode="External"/><Relationship Id="rId23" Type="http://schemas.openxmlformats.org/officeDocument/2006/relationships/customXml" Target="../customXml/item2.xml"/><Relationship Id="rId10" Type="http://schemas.openxmlformats.org/officeDocument/2006/relationships/hyperlink" Target="https://schoolsequella.det.nsw.edu.au/file/a240a1ff-d3e3-4883-92b4-a3591f4e12d7/1/leading-and-operating-department-preschool-guidelin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nsw.gov.au/view/whole/html/inforce/current/sl-2011-0653" TargetMode="External"/><Relationship Id="rId14" Type="http://schemas.openxmlformats.org/officeDocument/2006/relationships/hyperlink" Target="https://www.foodauthority.nsw.gov.au/sites/default/files/_Documents/industry/children_services_fsp_template.pdf"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16F8A-A7EB-4882-89DD-E73943CC7CD6}"/>
</file>

<file path=customXml/itemProps2.xml><?xml version="1.0" encoding="utf-8"?>
<ds:datastoreItem xmlns:ds="http://schemas.openxmlformats.org/officeDocument/2006/customXml" ds:itemID="{DDB4217B-49A8-4599-822D-66903D9931F3}"/>
</file>

<file path=customXml/itemProps3.xml><?xml version="1.0" encoding="utf-8"?>
<ds:datastoreItem xmlns:ds="http://schemas.openxmlformats.org/officeDocument/2006/customXml" ds:itemID="{978CA033-AE1E-42E0-AC06-240E3140517D}"/>
</file>

<file path=docProps/app.xml><?xml version="1.0" encoding="utf-8"?>
<Properties xmlns="http://schemas.openxmlformats.org/officeDocument/2006/extended-properties" xmlns:vt="http://schemas.openxmlformats.org/officeDocument/2006/docPropsVTypes">
  <Template>Normal</Template>
  <TotalTime>174</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4</cp:revision>
  <cp:lastPrinted>2022-05-19T04:51:00Z</cp:lastPrinted>
  <dcterms:created xsi:type="dcterms:W3CDTF">2022-05-18T23:54:00Z</dcterms:created>
  <dcterms:modified xsi:type="dcterms:W3CDTF">2022-05-19T04:54:00Z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