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E5" w:rsidRPr="000F13A7" w:rsidRDefault="001B49E5" w:rsidP="001B49E5">
      <w:pPr>
        <w:pStyle w:val="Heading3"/>
        <w:rPr>
          <w:rFonts w:cs="Arial"/>
        </w:rPr>
      </w:pPr>
      <w:bookmarkStart w:id="0" w:name="_Toc56014420"/>
      <w:r w:rsidRPr="000F13A7">
        <w:rPr>
          <w:rFonts w:cs="Arial"/>
          <w:szCs w:val="22"/>
        </w:rPr>
        <w:t>Preschool providing a child safe environment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7"/>
        <w:gridCol w:w="5733"/>
      </w:tblGrid>
      <w:tr w:rsidR="001B49E5"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002060"/>
          </w:tcPr>
          <w:p w:rsidR="001B49E5" w:rsidRPr="000F13A7" w:rsidRDefault="001B49E5" w:rsidP="00F022E6">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rsidR="001B49E5" w:rsidRPr="000F13A7" w:rsidRDefault="001B49E5" w:rsidP="00F022E6">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3" w:type="dxa"/>
            <w:shd w:val="clear" w:color="auto" w:fill="002060"/>
          </w:tcPr>
          <w:p w:rsidR="001B49E5" w:rsidRPr="000F13A7" w:rsidRDefault="001B49E5" w:rsidP="00F022E6">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1B49E5" w:rsidRPr="000F13A7" w:rsidRDefault="001B49E5" w:rsidP="00F022E6">
            <w:pPr>
              <w:autoSpaceDE w:val="0"/>
              <w:autoSpaceDN w:val="0"/>
              <w:spacing w:before="124" w:line="276" w:lineRule="auto"/>
              <w:ind w:right="134"/>
              <w:rPr>
                <w:rFonts w:cs="Arial"/>
                <w:b/>
                <w:szCs w:val="22"/>
              </w:rPr>
            </w:pPr>
            <w:r w:rsidRPr="000F13A7">
              <w:rPr>
                <w:rFonts w:cs="Arial"/>
                <w:szCs w:val="22"/>
              </w:rPr>
              <w:t>2.2</w:t>
            </w:r>
          </w:p>
          <w:p w:rsidR="001B49E5" w:rsidRPr="000F13A7" w:rsidRDefault="001B49E5" w:rsidP="00F022E6">
            <w:pPr>
              <w:autoSpaceDE w:val="0"/>
              <w:autoSpaceDN w:val="0"/>
              <w:spacing w:before="124" w:line="276" w:lineRule="auto"/>
              <w:ind w:right="134"/>
              <w:rPr>
                <w:rFonts w:cs="Arial"/>
                <w:b/>
                <w:szCs w:val="22"/>
              </w:rPr>
            </w:pPr>
            <w:r w:rsidRPr="000F13A7">
              <w:rPr>
                <w:rFonts w:cs="Arial"/>
                <w:szCs w:val="22"/>
              </w:rPr>
              <w:t>3.1</w:t>
            </w:r>
          </w:p>
          <w:p w:rsidR="001B49E5" w:rsidRPr="000F13A7" w:rsidRDefault="001B49E5" w:rsidP="00F022E6">
            <w:pPr>
              <w:spacing w:line="276" w:lineRule="auto"/>
              <w:rPr>
                <w:rFonts w:cs="Arial"/>
                <w:b/>
                <w:szCs w:val="22"/>
              </w:rPr>
            </w:pPr>
          </w:p>
        </w:tc>
        <w:tc>
          <w:tcPr>
            <w:tcW w:w="2687" w:type="dxa"/>
            <w:tcBorders>
              <w:top w:val="single" w:sz="4" w:space="0" w:color="auto"/>
              <w:left w:val="single" w:sz="4" w:space="0" w:color="auto"/>
              <w:bottom w:val="single" w:sz="4" w:space="0" w:color="auto"/>
              <w:right w:val="single" w:sz="4" w:space="0" w:color="auto"/>
            </w:tcBorders>
          </w:tcPr>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7" w:anchor="/view/regulation/2011/653/chap4/part4.2/div1/reg84" w:history="1">
              <w:r w:rsidRPr="000F13A7">
                <w:rPr>
                  <w:rStyle w:val="Hyperlink"/>
                  <w:rFonts w:cs="Arial"/>
                  <w:sz w:val="22"/>
                  <w:szCs w:val="22"/>
                </w:rPr>
                <w:t>84</w:t>
              </w:r>
            </w:hyperlink>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8" w:anchor="/view/regulation/2011/653/chap4/part4.3/div1/reg103" w:history="1">
              <w:r w:rsidRPr="000F13A7">
                <w:rPr>
                  <w:rStyle w:val="Hyperlink"/>
                  <w:rFonts w:cs="Arial"/>
                  <w:sz w:val="22"/>
                  <w:szCs w:val="22"/>
                </w:rPr>
                <w:t>103</w:t>
              </w:r>
            </w:hyperlink>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9" w:anchor="/view/regulation/2011/653/chap4/part4.3/div1/reg105" w:history="1">
              <w:r w:rsidRPr="000F13A7">
                <w:rPr>
                  <w:rStyle w:val="Hyperlink"/>
                  <w:rFonts w:cs="Arial"/>
                  <w:sz w:val="22"/>
                  <w:szCs w:val="22"/>
                </w:rPr>
                <w:t>105</w:t>
              </w:r>
            </w:hyperlink>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0" w:anchor="/view/regulation/2011/653/chap4/part4.3/div1/reg109" w:history="1">
              <w:r w:rsidRPr="000F13A7">
                <w:rPr>
                  <w:rStyle w:val="Hyperlink"/>
                  <w:rFonts w:cs="Arial"/>
                  <w:sz w:val="22"/>
                  <w:szCs w:val="22"/>
                </w:rPr>
                <w:t>109</w:t>
              </w:r>
            </w:hyperlink>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1" w:anchor="/view/regulation/2011/653/chap4/part4.3/div2/reg115" w:history="1">
              <w:r w:rsidRPr="000F13A7">
                <w:rPr>
                  <w:rStyle w:val="Hyperlink"/>
                  <w:rFonts w:cs="Arial"/>
                  <w:sz w:val="22"/>
                  <w:szCs w:val="22"/>
                </w:rPr>
                <w:t>115</w:t>
              </w:r>
            </w:hyperlink>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Law </w:t>
            </w:r>
            <w:r w:rsidRPr="000F13A7">
              <w:rPr>
                <w:rStyle w:val="Hyperlink"/>
                <w:rFonts w:cs="Arial"/>
                <w:sz w:val="22"/>
                <w:szCs w:val="22"/>
              </w:rPr>
              <w:t xml:space="preserve"> </w:t>
            </w:r>
            <w:r w:rsidRPr="000F13A7">
              <w:rPr>
                <w:rStyle w:val="Hyperlink"/>
                <w:rFonts w:cs="Arial"/>
                <w:sz w:val="22"/>
              </w:rPr>
              <w:fldChar w:fldCharType="begin"/>
            </w:r>
            <w:r w:rsidRPr="000F13A7">
              <w:rPr>
                <w:rStyle w:val="Hyperlink"/>
                <w:rFonts w:cs="Arial"/>
                <w:sz w:val="22"/>
                <w:szCs w:val="22"/>
              </w:rPr>
              <w:instrText xml:space="preserve"> HYPERLINK "https://www.legislation.nsw.gov.au/acts/2010-104.pdf" </w:instrText>
            </w:r>
            <w:r w:rsidRPr="000F13A7">
              <w:rPr>
                <w:rStyle w:val="Hyperlink"/>
                <w:rFonts w:cs="Arial"/>
                <w:sz w:val="22"/>
              </w:rPr>
              <w:fldChar w:fldCharType="separate"/>
            </w:r>
            <w:r w:rsidRPr="000F13A7">
              <w:rPr>
                <w:rStyle w:val="Hyperlink"/>
                <w:rFonts w:cs="Arial"/>
                <w:sz w:val="22"/>
                <w:szCs w:val="22"/>
              </w:rPr>
              <w:t>S. 165</w:t>
            </w:r>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w:t>
            </w:r>
            <w:proofErr w:type="gramStart"/>
            <w:r w:rsidRPr="000F13A7">
              <w:rPr>
                <w:rFonts w:cs="Arial"/>
                <w:sz w:val="22"/>
                <w:szCs w:val="22"/>
              </w:rPr>
              <w:t xml:space="preserve">Law </w:t>
            </w:r>
            <w:r w:rsidRPr="000F13A7">
              <w:rPr>
                <w:rStyle w:val="Hyperlink"/>
                <w:rFonts w:cs="Arial"/>
                <w:sz w:val="22"/>
                <w:szCs w:val="22"/>
              </w:rPr>
              <w:t xml:space="preserve"> S</w:t>
            </w:r>
            <w:proofErr w:type="gramEnd"/>
            <w:r w:rsidRPr="000F13A7">
              <w:rPr>
                <w:rStyle w:val="Hyperlink"/>
                <w:rFonts w:cs="Arial"/>
                <w:sz w:val="22"/>
                <w:szCs w:val="22"/>
              </w:rPr>
              <w:t>. 166</w:t>
            </w:r>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National </w:t>
            </w:r>
            <w:proofErr w:type="gramStart"/>
            <w:r w:rsidRPr="000F13A7">
              <w:rPr>
                <w:rFonts w:cs="Arial"/>
                <w:sz w:val="22"/>
                <w:szCs w:val="22"/>
              </w:rPr>
              <w:t xml:space="preserve">Law </w:t>
            </w:r>
            <w:r w:rsidRPr="000F13A7">
              <w:rPr>
                <w:rStyle w:val="Hyperlink"/>
                <w:rFonts w:cs="Arial"/>
                <w:sz w:val="22"/>
                <w:szCs w:val="22"/>
              </w:rPr>
              <w:t xml:space="preserve"> S</w:t>
            </w:r>
            <w:proofErr w:type="gramEnd"/>
            <w:r w:rsidRPr="000F13A7">
              <w:rPr>
                <w:rStyle w:val="Hyperlink"/>
                <w:rFonts w:cs="Arial"/>
                <w:sz w:val="22"/>
                <w:szCs w:val="22"/>
              </w:rPr>
              <w:t>.167</w:t>
            </w:r>
            <w:r w:rsidRPr="000F13A7">
              <w:rPr>
                <w:rStyle w:val="Hyperlink"/>
                <w:rFonts w:cs="Arial"/>
                <w:sz w:val="22"/>
              </w:rPr>
              <w:fldChar w:fldCharType="end"/>
            </w:r>
          </w:p>
          <w:p w:rsidR="001B49E5" w:rsidRPr="000F13A7" w:rsidRDefault="001B49E5"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33" w:type="dxa"/>
            <w:tcBorders>
              <w:top w:val="single" w:sz="4" w:space="0" w:color="auto"/>
              <w:left w:val="single" w:sz="4" w:space="0" w:color="auto"/>
              <w:bottom w:val="single" w:sz="4" w:space="0" w:color="auto"/>
              <w:right w:val="single" w:sz="4" w:space="0" w:color="auto"/>
            </w:tcBorders>
          </w:tcPr>
          <w:p w:rsidR="001B49E5" w:rsidRPr="000F13A7" w:rsidRDefault="00571611" w:rsidP="00F022E6">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2" w:history="1">
              <w:r w:rsidR="001B49E5" w:rsidRPr="000F13A7">
                <w:rPr>
                  <w:rStyle w:val="Hyperlink"/>
                  <w:rFonts w:cs="Arial"/>
                  <w:sz w:val="22"/>
                  <w:szCs w:val="22"/>
                </w:rPr>
                <w:t>Leading and Operating Department Preschool Guidelines</w:t>
              </w:r>
            </w:hyperlink>
          </w:p>
          <w:p w:rsidR="001B49E5" w:rsidRPr="000F13A7" w:rsidRDefault="00571611"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3" w:history="1">
              <w:r w:rsidR="001B49E5" w:rsidRPr="000F13A7">
                <w:rPr>
                  <w:rStyle w:val="Hyperlink"/>
                  <w:rFonts w:cs="Arial"/>
                  <w:sz w:val="22"/>
                  <w:szCs w:val="22"/>
                </w:rPr>
                <w:t>Child Protection Policy: Responding to and reporting students at risk of harm</w:t>
              </w:r>
            </w:hyperlink>
          </w:p>
          <w:p w:rsidR="001B49E5" w:rsidRPr="000F13A7" w:rsidRDefault="00571611"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4" w:history="1">
              <w:r w:rsidR="001B49E5" w:rsidRPr="000F13A7">
                <w:rPr>
                  <w:rStyle w:val="Hyperlink"/>
                  <w:rFonts w:cs="Arial"/>
                  <w:sz w:val="22"/>
                  <w:szCs w:val="22"/>
                </w:rPr>
                <w:t>Working with Children Check policy</w:t>
              </w:r>
            </w:hyperlink>
          </w:p>
          <w:p w:rsidR="001B49E5" w:rsidRPr="000F13A7" w:rsidRDefault="00571611"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5" w:history="1">
              <w:r w:rsidR="001B49E5" w:rsidRPr="000F13A7">
                <w:rPr>
                  <w:rStyle w:val="Hyperlink"/>
                  <w:rFonts w:cs="Arial"/>
                  <w:sz w:val="22"/>
                  <w:szCs w:val="22"/>
                </w:rPr>
                <w:t>Child Protection: Allegations against employees</w:t>
              </w:r>
            </w:hyperlink>
            <w:r w:rsidR="001B49E5" w:rsidRPr="000F13A7">
              <w:rPr>
                <w:rStyle w:val="Hyperlink"/>
                <w:rFonts w:cs="Arial"/>
                <w:sz w:val="22"/>
                <w:szCs w:val="22"/>
              </w:rPr>
              <w:t xml:space="preserve"> </w:t>
            </w:r>
          </w:p>
          <w:p w:rsidR="001B49E5" w:rsidRPr="000F13A7" w:rsidRDefault="00571611" w:rsidP="00F022E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6" w:history="1">
              <w:r w:rsidR="001B49E5" w:rsidRPr="000F13A7">
                <w:rPr>
                  <w:rStyle w:val="Hyperlink"/>
                  <w:rFonts w:cs="Arial"/>
                  <w:sz w:val="22"/>
                  <w:szCs w:val="22"/>
                </w:rPr>
                <w:t>Work health and safety (WHS) policy</w:t>
              </w:r>
            </w:hyperlink>
          </w:p>
          <w:p w:rsidR="001B49E5" w:rsidRPr="000F13A7" w:rsidRDefault="00571611" w:rsidP="00F022E6">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7" w:history="1">
              <w:r w:rsidR="001B49E5" w:rsidRPr="000F13A7">
                <w:rPr>
                  <w:rStyle w:val="Hyperlink"/>
                  <w:rFonts w:cs="Arial"/>
                  <w:sz w:val="22"/>
                  <w:szCs w:val="22"/>
                </w:rPr>
                <w:t>Student safety tools and procedures</w:t>
              </w:r>
            </w:hyperlink>
          </w:p>
          <w:p w:rsidR="001B49E5" w:rsidRPr="000F13A7" w:rsidRDefault="00571611"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8" w:history="1">
              <w:r w:rsidR="001B49E5" w:rsidRPr="000F13A7">
                <w:rPr>
                  <w:rStyle w:val="Hyperlink"/>
                  <w:sz w:val="22"/>
                </w:rPr>
                <w:t>Working with children check: Declaration for volunteers</w:t>
              </w:r>
            </w:hyperlink>
          </w:p>
        </w:tc>
      </w:tr>
      <w:tr w:rsidR="001B49E5"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1B49E5" w:rsidRPr="000F13A7" w:rsidRDefault="001B49E5" w:rsidP="00F022E6">
            <w:pPr>
              <w:spacing w:line="276" w:lineRule="auto"/>
              <w:rPr>
                <w:rFonts w:cs="Arial"/>
                <w:b/>
                <w:bCs/>
                <w:szCs w:val="22"/>
                <w:lang w:eastAsia="zh-CN"/>
              </w:rPr>
            </w:pPr>
            <w:r w:rsidRPr="000F13A7">
              <w:rPr>
                <w:rFonts w:cs="Arial"/>
                <w:b/>
                <w:bCs/>
                <w:szCs w:val="22"/>
                <w:lang w:eastAsia="zh-CN"/>
              </w:rPr>
              <w:t>Pre-reading and reference documents</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line="276" w:lineRule="auto"/>
              <w:rPr>
                <w:rStyle w:val="Hyperlink"/>
                <w:rFonts w:cs="Arial"/>
                <w:b/>
                <w:szCs w:val="22"/>
              </w:rPr>
            </w:pPr>
            <w:r w:rsidRPr="000F13A7">
              <w:rPr>
                <w:rStyle w:val="Hyperlink"/>
                <w:rFonts w:cs="Arial"/>
              </w:rPr>
              <w:fldChar w:fldCharType="begin"/>
            </w:r>
            <w:r w:rsidRPr="000F13A7">
              <w:rPr>
                <w:rStyle w:val="Hyperlink"/>
                <w:rFonts w:cs="Arial"/>
                <w:szCs w:val="22"/>
              </w:rPr>
              <w:instrText xml:space="preserve"> HYPERLINK "https://www.acecqa.gov.au/media/22946" </w:instrText>
            </w:r>
            <w:r w:rsidRPr="000F13A7">
              <w:rPr>
                <w:rStyle w:val="Hyperlink"/>
                <w:rFonts w:cs="Arial"/>
              </w:rPr>
              <w:fldChar w:fldCharType="separate"/>
            </w:r>
            <w:r w:rsidRPr="000F13A7">
              <w:rPr>
                <w:rStyle w:val="Hyperlink"/>
                <w:rFonts w:cs="Arial"/>
                <w:szCs w:val="22"/>
              </w:rPr>
              <w:t xml:space="preserve">ACECQA </w:t>
            </w:r>
            <w:r w:rsidRPr="000F13A7">
              <w:rPr>
                <w:rStyle w:val="Hyperlink"/>
                <w:rFonts w:cs="Arial"/>
                <w:bCs/>
                <w:spacing w:val="12"/>
                <w:szCs w:val="22"/>
                <w:shd w:val="clear" w:color="auto" w:fill="FFFFFF"/>
              </w:rPr>
              <w:t>Information sheet - Active supervision: Ensuring safety and promoting learning</w:t>
            </w:r>
          </w:p>
          <w:p w:rsidR="001B49E5" w:rsidRPr="000F13A7" w:rsidRDefault="001B49E5" w:rsidP="00F022E6">
            <w:pPr>
              <w:spacing w:line="276" w:lineRule="auto"/>
              <w:rPr>
                <w:rStyle w:val="Hyperlink"/>
                <w:rFonts w:cs="Arial"/>
                <w:szCs w:val="22"/>
              </w:rPr>
            </w:pPr>
            <w:r w:rsidRPr="000F13A7">
              <w:rPr>
                <w:rStyle w:val="Hyperlink"/>
                <w:rFonts w:cs="Arial"/>
              </w:rPr>
              <w:fldChar w:fldCharType="end"/>
            </w:r>
            <w:hyperlink r:id="rId19" w:history="1">
              <w:proofErr w:type="spellStart"/>
              <w:r w:rsidRPr="000F13A7">
                <w:rPr>
                  <w:rStyle w:val="Hyperlink"/>
                  <w:rFonts w:cs="Arial"/>
                  <w:szCs w:val="22"/>
                </w:rPr>
                <w:t>Kidsafe</w:t>
              </w:r>
              <w:proofErr w:type="spellEnd"/>
              <w:r w:rsidRPr="000F13A7">
                <w:rPr>
                  <w:rStyle w:val="Hyperlink"/>
                  <w:rFonts w:cs="Arial"/>
                  <w:szCs w:val="22"/>
                </w:rPr>
                <w:t>: Child Accident Prevention Foundation of Australia</w:t>
              </w:r>
            </w:hyperlink>
          </w:p>
          <w:p w:rsidR="001B49E5" w:rsidRPr="008172BA" w:rsidRDefault="00571611" w:rsidP="00F022E6">
            <w:pPr>
              <w:spacing w:line="276" w:lineRule="auto"/>
              <w:rPr>
                <w:color w:val="2F5496" w:themeColor="accent1" w:themeShade="BF"/>
                <w:szCs w:val="22"/>
                <w:u w:val="single"/>
              </w:rPr>
            </w:pPr>
            <w:hyperlink r:id="rId20" w:anchor="plants-to-avoid" w:history="1">
              <w:proofErr w:type="spellStart"/>
              <w:r w:rsidR="001B49E5" w:rsidRPr="000F13A7">
                <w:rPr>
                  <w:rStyle w:val="Hyperlink"/>
                  <w:szCs w:val="22"/>
                </w:rPr>
                <w:t>Kidsafe</w:t>
              </w:r>
              <w:proofErr w:type="spellEnd"/>
              <w:r w:rsidR="001B49E5" w:rsidRPr="000F13A7">
                <w:rPr>
                  <w:rStyle w:val="Hyperlink"/>
                  <w:szCs w:val="22"/>
                </w:rPr>
                <w:t>: Grow me safely</w:t>
              </w:r>
            </w:hyperlink>
          </w:p>
        </w:tc>
      </w:tr>
      <w:tr w:rsidR="001B49E5"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1B49E5" w:rsidRPr="000F13A7" w:rsidRDefault="001B49E5" w:rsidP="00F022E6">
            <w:pPr>
              <w:spacing w:line="276" w:lineRule="auto"/>
              <w:rPr>
                <w:rFonts w:cs="Arial"/>
                <w:b/>
                <w:bCs/>
                <w:szCs w:val="22"/>
                <w:lang w:eastAsia="zh-CN"/>
              </w:rPr>
            </w:pPr>
            <w:r w:rsidRPr="000F13A7">
              <w:rPr>
                <w:rFonts w:cs="Arial"/>
                <w:b/>
                <w:bCs/>
                <w:szCs w:val="22"/>
                <w:lang w:eastAsia="zh-CN"/>
              </w:rPr>
              <w:t>Staff roles and responsibilities</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after="192" w:line="276" w:lineRule="auto"/>
              <w:rPr>
                <w:rFonts w:cs="Arial"/>
                <w:b/>
                <w:bCs/>
                <w:szCs w:val="22"/>
                <w:lang w:eastAsia="zh-CN"/>
              </w:rPr>
            </w:pPr>
            <w:r w:rsidRPr="000F13A7">
              <w:rPr>
                <w:rFonts w:cs="Arial"/>
                <w:b/>
                <w:bCs/>
                <w:szCs w:val="22"/>
                <w:lang w:eastAsia="zh-CN"/>
              </w:rPr>
              <w:t>School principal</w:t>
            </w:r>
          </w:p>
          <w:p w:rsidR="001B49E5" w:rsidRPr="000F13A7" w:rsidRDefault="001B49E5" w:rsidP="00F022E6">
            <w:pPr>
              <w:spacing w:line="276" w:lineRule="auto"/>
              <w:rPr>
                <w:rFonts w:cs="Arial"/>
                <w:b/>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rsidR="001B49E5" w:rsidRPr="000F13A7" w:rsidRDefault="001B49E5"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rsidR="001B49E5" w:rsidRPr="000F13A7" w:rsidRDefault="001B49E5" w:rsidP="001B49E5">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rsidR="001B49E5" w:rsidRPr="000F13A7" w:rsidRDefault="001B49E5" w:rsidP="001B49E5">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rsidR="001B49E5" w:rsidRPr="001B49E5" w:rsidRDefault="001B49E5" w:rsidP="00F022E6">
            <w:pPr>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1B49E5"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1B49E5" w:rsidRPr="000F13A7" w:rsidRDefault="001B49E5" w:rsidP="00F022E6">
            <w:pPr>
              <w:spacing w:line="276" w:lineRule="auto"/>
              <w:rPr>
                <w:rFonts w:cs="Arial"/>
                <w:b/>
                <w:bCs/>
                <w:szCs w:val="22"/>
                <w:lang w:eastAsia="zh-CN"/>
              </w:rPr>
            </w:pPr>
            <w:r w:rsidRPr="000F13A7">
              <w:rPr>
                <w:rFonts w:cs="Arial"/>
                <w:b/>
                <w:bCs/>
                <w:szCs w:val="22"/>
                <w:lang w:eastAsia="zh-CN"/>
              </w:rPr>
              <w:lastRenderedPageBreak/>
              <w:t>Preschool supervisor</w:t>
            </w:r>
          </w:p>
          <w:p w:rsidR="001B49E5" w:rsidRPr="000F13A7" w:rsidRDefault="001B49E5" w:rsidP="00F022E6">
            <w:pPr>
              <w:spacing w:line="276" w:lineRule="auto"/>
              <w:rPr>
                <w:rFonts w:cs="Arial"/>
                <w:szCs w:val="22"/>
                <w:lang w:eastAsia="zh-CN"/>
              </w:rPr>
            </w:pPr>
            <w:r w:rsidRPr="000F13A7">
              <w:rPr>
                <w:rFonts w:eastAsia="Arial" w:cs="Arial"/>
                <w:bCs/>
                <w:color w:val="FF0000"/>
                <w:szCs w:val="22"/>
              </w:rPr>
              <w:t xml:space="preserve"> </w:t>
            </w:r>
          </w:p>
        </w:tc>
        <w:tc>
          <w:tcPr>
            <w:tcW w:w="8420" w:type="dxa"/>
            <w:gridSpan w:val="2"/>
            <w:shd w:val="clear" w:color="auto" w:fill="auto"/>
          </w:tcPr>
          <w:p w:rsidR="001B49E5" w:rsidRPr="000F13A7" w:rsidRDefault="001B49E5" w:rsidP="001B49E5">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line="276" w:lineRule="auto"/>
              <w:rPr>
                <w:rFonts w:cs="Arial"/>
                <w:b/>
                <w:bCs/>
                <w:szCs w:val="22"/>
                <w:lang w:eastAsia="zh-CN"/>
              </w:rPr>
            </w:pPr>
            <w:r w:rsidRPr="000F13A7">
              <w:rPr>
                <w:rFonts w:cs="Arial"/>
                <w:b/>
                <w:bCs/>
                <w:szCs w:val="22"/>
                <w:lang w:eastAsia="zh-CN"/>
              </w:rPr>
              <w:t>Preschool educators</w:t>
            </w:r>
          </w:p>
          <w:p w:rsidR="001B49E5" w:rsidRPr="000F13A7" w:rsidRDefault="001B49E5" w:rsidP="00F022E6">
            <w:pPr>
              <w:spacing w:line="276" w:lineRule="auto"/>
              <w:rPr>
                <w:rFonts w:cs="Arial"/>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rsidR="001B49E5" w:rsidRPr="000F13A7" w:rsidRDefault="001B49E5" w:rsidP="001B49E5">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rsidR="001B49E5" w:rsidRPr="000F13A7" w:rsidRDefault="001B49E5" w:rsidP="001B49E5">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rsidR="001B49E5" w:rsidRPr="000F13A7" w:rsidRDefault="001B49E5" w:rsidP="001B49E5">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rsidR="001B49E5" w:rsidRPr="006B1EBF" w:rsidRDefault="001B49E5" w:rsidP="00F022E6">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r w:rsidR="006B1EBF">
              <w:rPr>
                <w:rFonts w:ascii="Montserrat" w:hAnsi="Montserrat"/>
                <w:sz w:val="22"/>
                <w:szCs w:val="22"/>
              </w:rPr>
              <w:t>.</w:t>
            </w:r>
          </w:p>
        </w:tc>
      </w:tr>
      <w:tr w:rsidR="001B49E5"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1B49E5" w:rsidRPr="000F13A7" w:rsidRDefault="001B49E5" w:rsidP="00F022E6">
            <w:pPr>
              <w:spacing w:line="276" w:lineRule="auto"/>
              <w:rPr>
                <w:rFonts w:cs="Arial"/>
                <w:b/>
                <w:bCs/>
                <w:szCs w:val="22"/>
              </w:rPr>
            </w:pPr>
            <w:r w:rsidRPr="000F13A7">
              <w:rPr>
                <w:rFonts w:cs="Arial"/>
                <w:b/>
                <w:bCs/>
                <w:szCs w:val="22"/>
                <w:lang w:eastAsia="zh-CN"/>
              </w:rPr>
              <w:t>Procedure</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line="276" w:lineRule="auto"/>
              <w:rPr>
                <w:rFonts w:cs="Arial"/>
                <w:b/>
                <w:bCs/>
                <w:szCs w:val="22"/>
                <w:lang w:eastAsia="zh-CN"/>
              </w:rPr>
            </w:pPr>
            <w:r w:rsidRPr="000F13A7">
              <w:rPr>
                <w:rFonts w:cs="Arial"/>
                <w:b/>
                <w:bCs/>
                <w:szCs w:val="22"/>
                <w:lang w:eastAsia="zh-CN"/>
              </w:rPr>
              <w:t>Adequate supervision</w:t>
            </w:r>
          </w:p>
        </w:tc>
        <w:tc>
          <w:tcPr>
            <w:tcW w:w="8420" w:type="dxa"/>
            <w:gridSpan w:val="2"/>
            <w:tcBorders>
              <w:top w:val="single" w:sz="4" w:space="0" w:color="auto"/>
              <w:left w:val="single" w:sz="4" w:space="0" w:color="auto"/>
              <w:bottom w:val="single" w:sz="4" w:space="0" w:color="auto"/>
              <w:right w:val="single" w:sz="4" w:space="0" w:color="auto"/>
            </w:tcBorders>
          </w:tcPr>
          <w:p w:rsidR="001B49E5" w:rsidRPr="000F13A7" w:rsidRDefault="001B49E5" w:rsidP="001B49E5">
            <w:pPr>
              <w:pStyle w:val="BodyText"/>
              <w:numPr>
                <w:ilvl w:val="0"/>
                <w:numId w:val="6"/>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The preschool children are adequately supervised at all times.</w:t>
            </w:r>
          </w:p>
          <w:p w:rsidR="001B49E5" w:rsidRPr="000F13A7" w:rsidRDefault="001B49E5" w:rsidP="001B49E5">
            <w:pPr>
              <w:pStyle w:val="BodyText"/>
              <w:numPr>
                <w:ilvl w:val="0"/>
                <w:numId w:val="6"/>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A supervision plan is in place to support active supervision. It makes note of areas and activities which require closer supervision, as well as arrangements for specific times of the day (arrivals, departures, pack – away) or situations (a sick child needs to be isolated from the group, some children are </w:t>
            </w:r>
            <w:r w:rsidRPr="001B49E5">
              <w:rPr>
                <w:rFonts w:ascii="Montserrat" w:hAnsi="Montserrat"/>
                <w:sz w:val="22"/>
                <w:szCs w:val="22"/>
              </w:rPr>
              <w:t xml:space="preserve">sleeping). Educators ensure supervision is maintained, large vision mirrors are used for blind spots and staff communicate when moving between spaces.  </w:t>
            </w:r>
          </w:p>
          <w:p w:rsidR="001B49E5" w:rsidRPr="00571611" w:rsidRDefault="001B49E5" w:rsidP="00571611">
            <w:pPr>
              <w:pStyle w:val="BodyText"/>
              <w:numPr>
                <w:ilvl w:val="0"/>
                <w:numId w:val="6"/>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A staff roster ensures a ratio of one educator for each ten children is maintained at all times the preschool is open, including during planned educator breaks</w:t>
            </w:r>
            <w:r>
              <w:rPr>
                <w:rFonts w:ascii="Montserrat" w:hAnsi="Montserrat"/>
                <w:sz w:val="22"/>
                <w:szCs w:val="22"/>
              </w:rPr>
              <w:t xml:space="preserve">. Preschool Educators are relieved by early childhood trained teachers and where possible, or primary trained teachers if this is not an option. </w:t>
            </w:r>
          </w:p>
        </w:tc>
      </w:tr>
      <w:tr w:rsidR="001B49E5"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1B49E5" w:rsidRPr="000F13A7" w:rsidRDefault="001B49E5" w:rsidP="00F022E6">
            <w:pPr>
              <w:spacing w:after="0" w:line="276" w:lineRule="auto"/>
              <w:rPr>
                <w:rFonts w:cs="Arial"/>
                <w:b/>
                <w:bCs/>
                <w:szCs w:val="22"/>
                <w:lang w:eastAsia="zh-CN"/>
              </w:rPr>
            </w:pPr>
            <w:r w:rsidRPr="000F13A7">
              <w:rPr>
                <w:rFonts w:cs="Arial"/>
                <w:b/>
                <w:bCs/>
                <w:szCs w:val="22"/>
                <w:lang w:eastAsia="zh-CN"/>
              </w:rPr>
              <w:t>Child protection</w:t>
            </w:r>
          </w:p>
        </w:tc>
        <w:tc>
          <w:tcPr>
            <w:tcW w:w="8420" w:type="dxa"/>
            <w:gridSpan w:val="2"/>
            <w:shd w:val="clear" w:color="auto" w:fill="auto"/>
          </w:tcPr>
          <w:p w:rsidR="001B49E5" w:rsidRPr="002B7632" w:rsidRDefault="001B49E5" w:rsidP="001B49E5">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B7632">
              <w:rPr>
                <w:rFonts w:ascii="Montserrat" w:hAnsi="Montserrat"/>
                <w:sz w:val="22"/>
                <w:szCs w:val="22"/>
              </w:rPr>
              <w:t xml:space="preserve">As per department policy, as </w:t>
            </w:r>
            <w:r w:rsidRPr="002B7632">
              <w:rPr>
                <w:rFonts w:ascii="Montserrat" w:hAnsi="Montserrat"/>
                <w:i/>
                <w:sz w:val="22"/>
                <w:szCs w:val="22"/>
              </w:rPr>
              <w:t>mandatory reporters</w:t>
            </w:r>
            <w:r w:rsidRPr="002B7632">
              <w:rPr>
                <w:rFonts w:ascii="Montserrat" w:hAnsi="Montserrat"/>
                <w:sz w:val="22"/>
                <w:szCs w:val="22"/>
              </w:rPr>
              <w:t xml:space="preserve">, all staff have a duty to inform the principal when they have reasonable grounds to suspect any risk of harm to a child.  </w:t>
            </w:r>
          </w:p>
          <w:p w:rsidR="001B49E5" w:rsidRPr="002B7632" w:rsidRDefault="001B49E5" w:rsidP="001B49E5">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B7632">
              <w:rPr>
                <w:rFonts w:ascii="Montserrat" w:hAnsi="Montserrat"/>
                <w:sz w:val="22"/>
                <w:szCs w:val="22"/>
              </w:rPr>
              <w:t xml:space="preserve">All department staff complete the online </w:t>
            </w:r>
            <w:r w:rsidRPr="002B7632">
              <w:rPr>
                <w:rFonts w:ascii="Montserrat" w:hAnsi="Montserrat"/>
                <w:i/>
                <w:sz w:val="22"/>
                <w:szCs w:val="22"/>
              </w:rPr>
              <w:t xml:space="preserve">Mandatory Child Protection Training </w:t>
            </w:r>
            <w:r w:rsidRPr="002B7632">
              <w:rPr>
                <w:rFonts w:ascii="Montserrat" w:hAnsi="Montserrat"/>
                <w:sz w:val="22"/>
                <w:szCs w:val="22"/>
              </w:rPr>
              <w:t>annually.</w:t>
            </w:r>
          </w:p>
          <w:p w:rsidR="001B49E5" w:rsidRPr="002B7632" w:rsidRDefault="001B49E5" w:rsidP="001B49E5">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B7632">
              <w:rPr>
                <w:rFonts w:ascii="Montserrat" w:hAnsi="Montserrat"/>
                <w:sz w:val="22"/>
                <w:szCs w:val="22"/>
              </w:rPr>
              <w:t xml:space="preserve">Preschool educators are encouraged and supported to raise and discuss any child protection concerns they have. </w:t>
            </w:r>
            <w:r w:rsidR="002B7632" w:rsidRPr="002B7632">
              <w:rPr>
                <w:rFonts w:ascii="Montserrat" w:hAnsi="Montserrat"/>
                <w:sz w:val="22"/>
                <w:szCs w:val="22"/>
              </w:rPr>
              <w:t xml:space="preserve">During our weekly team meeting wellbeing concerns are communicated and documented. </w:t>
            </w:r>
            <w:proofErr w:type="spellStart"/>
            <w:r w:rsidR="002B7632">
              <w:rPr>
                <w:rFonts w:ascii="Montserrat" w:hAnsi="Montserrat"/>
                <w:sz w:val="22"/>
                <w:szCs w:val="22"/>
              </w:rPr>
              <w:t>Sentral</w:t>
            </w:r>
            <w:proofErr w:type="spellEnd"/>
            <w:r w:rsidR="002B7632">
              <w:rPr>
                <w:rFonts w:ascii="Montserrat" w:hAnsi="Montserrat"/>
                <w:sz w:val="22"/>
                <w:szCs w:val="22"/>
              </w:rPr>
              <w:t xml:space="preserve"> entries are added to children’s file as needed to ensure effective documentation. </w:t>
            </w:r>
          </w:p>
          <w:p w:rsidR="001B49E5" w:rsidRPr="002B7632" w:rsidRDefault="001B49E5" w:rsidP="001B49E5">
            <w:pPr>
              <w:pStyle w:val="ListParagraph"/>
              <w:numPr>
                <w:ilvl w:val="0"/>
                <w:numId w:val="7"/>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B7632">
              <w:rPr>
                <w:rFonts w:ascii="Montserrat" w:hAnsi="Montserrat"/>
                <w:sz w:val="22"/>
                <w:szCs w:val="22"/>
              </w:rPr>
              <w:t xml:space="preserve">Notification of a serious incident is made to Early Learning </w:t>
            </w:r>
            <w:r w:rsidRPr="002B7632">
              <w:rPr>
                <w:rFonts w:ascii="Montserrat" w:eastAsia="Times New Roman" w:hAnsi="Montserrat"/>
                <w:sz w:val="22"/>
                <w:szCs w:val="22"/>
                <w:lang w:eastAsia="en-AU"/>
              </w:rPr>
              <w:t xml:space="preserve">(phone </w:t>
            </w:r>
            <w:r w:rsidRPr="002B7632">
              <w:rPr>
                <w:rFonts w:ascii="Montserrat" w:eastAsia="Times New Roman" w:hAnsi="Montserrat"/>
                <w:sz w:val="22"/>
                <w:szCs w:val="22"/>
                <w:lang w:eastAsia="en-AU"/>
              </w:rPr>
              <w:lastRenderedPageBreak/>
              <w:t>1300 083 698)</w:t>
            </w:r>
            <w:r w:rsidRPr="002B7632">
              <w:rPr>
                <w:rFonts w:ascii="Montserrat" w:hAnsi="Montserrat"/>
                <w:sz w:val="22"/>
                <w:szCs w:val="22"/>
              </w:rPr>
              <w:t xml:space="preserve"> when: </w:t>
            </w:r>
          </w:p>
          <w:p w:rsidR="001B49E5" w:rsidRPr="002B7632" w:rsidRDefault="001B49E5" w:rsidP="001B49E5">
            <w:pPr>
              <w:pStyle w:val="ListParagraph"/>
              <w:numPr>
                <w:ilvl w:val="1"/>
                <w:numId w:val="8"/>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B7632">
              <w:rPr>
                <w:rFonts w:ascii="Montserrat" w:hAnsi="Montserrat"/>
                <w:sz w:val="22"/>
                <w:szCs w:val="22"/>
              </w:rPr>
              <w:t>a staff member reasonably believes that physical or sexual abuse of a child has or is occurring at the preschool</w:t>
            </w:r>
          </w:p>
          <w:p w:rsidR="001B49E5" w:rsidRPr="006B1EBF" w:rsidRDefault="001B49E5" w:rsidP="006B1EBF">
            <w:pPr>
              <w:pStyle w:val="ListParagraph"/>
              <w:numPr>
                <w:ilvl w:val="1"/>
                <w:numId w:val="8"/>
              </w:numPr>
              <w:spacing w:before="8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B7632">
              <w:rPr>
                <w:rFonts w:ascii="Montserrat" w:hAnsi="Montserrat"/>
                <w:sz w:val="22"/>
                <w:szCs w:val="22"/>
              </w:rPr>
              <w:t>an allegation or complaint is made that physical or sexual abuse of a child has or is occurring at the preschool</w:t>
            </w:r>
            <w:r w:rsidR="006B1EBF">
              <w:rPr>
                <w:rFonts w:ascii="Montserrat" w:hAnsi="Montserrat"/>
                <w:sz w:val="22"/>
                <w:szCs w:val="22"/>
              </w:rPr>
              <w:t>.</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after="0" w:line="276" w:lineRule="auto"/>
              <w:rPr>
                <w:rFonts w:cs="Arial"/>
                <w:b/>
                <w:bCs/>
                <w:szCs w:val="22"/>
                <w:lang w:eastAsia="zh-CN"/>
              </w:rPr>
            </w:pPr>
            <w:r w:rsidRPr="000F13A7">
              <w:rPr>
                <w:rFonts w:cs="Arial"/>
                <w:b/>
                <w:bCs/>
                <w:szCs w:val="22"/>
                <w:lang w:eastAsia="zh-CN"/>
              </w:rPr>
              <w:lastRenderedPageBreak/>
              <w:t>Working with children checks</w:t>
            </w:r>
          </w:p>
        </w:tc>
        <w:tc>
          <w:tcPr>
            <w:tcW w:w="8420" w:type="dxa"/>
            <w:gridSpan w:val="2"/>
            <w:tcBorders>
              <w:top w:val="single" w:sz="4" w:space="0" w:color="auto"/>
              <w:left w:val="single" w:sz="4" w:space="0" w:color="auto"/>
              <w:bottom w:val="single" w:sz="4" w:space="0" w:color="auto"/>
              <w:right w:val="single" w:sz="4" w:space="0" w:color="auto"/>
            </w:tcBorders>
          </w:tcPr>
          <w:p w:rsidR="001B49E5" w:rsidRPr="000F13A7" w:rsidRDefault="001B49E5" w:rsidP="001B49E5">
            <w:pPr>
              <w:pStyle w:val="ListParagraph"/>
              <w:numPr>
                <w:ilvl w:val="0"/>
                <w:numId w:val="7"/>
              </w:numPr>
              <w:spacing w:before="8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department staff hold a current </w:t>
            </w:r>
            <w:r w:rsidRPr="000F13A7">
              <w:rPr>
                <w:rFonts w:ascii="Montserrat" w:hAnsi="Montserrat"/>
                <w:i/>
                <w:sz w:val="22"/>
                <w:szCs w:val="22"/>
              </w:rPr>
              <w:t>Working with Children Check</w:t>
            </w:r>
            <w:r w:rsidRPr="000F13A7">
              <w:rPr>
                <w:rFonts w:ascii="Montserrat" w:hAnsi="Montserrat"/>
                <w:sz w:val="22"/>
                <w:szCs w:val="22"/>
              </w:rPr>
              <w:t xml:space="preserve"> valid for paid work and verified by the department. </w:t>
            </w:r>
            <w:r w:rsidR="002B7632" w:rsidRPr="002B7632">
              <w:rPr>
                <w:rFonts w:ascii="Montserrat" w:hAnsi="Montserrat"/>
                <w:sz w:val="22"/>
                <w:szCs w:val="22"/>
              </w:rPr>
              <w:t>Each</w:t>
            </w:r>
            <w:r w:rsidRPr="002B7632">
              <w:rPr>
                <w:rFonts w:ascii="Montserrat" w:hAnsi="Montserrat"/>
                <w:sz w:val="22"/>
                <w:szCs w:val="22"/>
              </w:rPr>
              <w:t xml:space="preserve"> staff member’s WWCC number, expiry date and proof of verification </w:t>
            </w:r>
            <w:r w:rsidR="002B7632" w:rsidRPr="002B7632">
              <w:rPr>
                <w:rFonts w:ascii="Montserrat" w:hAnsi="Montserrat"/>
                <w:sz w:val="22"/>
                <w:szCs w:val="22"/>
              </w:rPr>
              <w:t xml:space="preserve">is </w:t>
            </w:r>
            <w:r w:rsidRPr="002B7632">
              <w:rPr>
                <w:rFonts w:ascii="Montserrat" w:hAnsi="Montserrat"/>
                <w:sz w:val="22"/>
                <w:szCs w:val="22"/>
              </w:rPr>
              <w:t xml:space="preserve">stored in the staff </w:t>
            </w:r>
            <w:r w:rsidR="002B7632" w:rsidRPr="002B7632">
              <w:rPr>
                <w:rFonts w:ascii="Montserrat" w:hAnsi="Montserrat"/>
                <w:sz w:val="22"/>
                <w:szCs w:val="22"/>
              </w:rPr>
              <w:t xml:space="preserve">Qualifications </w:t>
            </w:r>
            <w:r w:rsidRPr="002B7632">
              <w:rPr>
                <w:rFonts w:ascii="Montserrat" w:hAnsi="Montserrat"/>
                <w:sz w:val="22"/>
                <w:szCs w:val="22"/>
              </w:rPr>
              <w:t>folde</w:t>
            </w:r>
            <w:r w:rsidR="002B7632" w:rsidRPr="002B7632">
              <w:rPr>
                <w:rFonts w:ascii="Montserrat" w:hAnsi="Montserrat"/>
                <w:sz w:val="22"/>
                <w:szCs w:val="22"/>
              </w:rPr>
              <w:t xml:space="preserve">r. </w:t>
            </w:r>
          </w:p>
          <w:p w:rsidR="001B49E5" w:rsidRPr="006B1EBF" w:rsidRDefault="001B49E5" w:rsidP="006B1EBF">
            <w:pPr>
              <w:pStyle w:val="ListParagraph"/>
              <w:numPr>
                <w:ilvl w:val="0"/>
                <w:numId w:val="7"/>
              </w:numPr>
              <w:spacing w:before="8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Parents and close relatives volunteering in the preschool do not require a WWCC clearance, but must complete </w:t>
            </w:r>
            <w:hyperlink r:id="rId21" w:history="1">
              <w:r w:rsidRPr="000F13A7">
                <w:rPr>
                  <w:rStyle w:val="Hyperlink"/>
                  <w:rFonts w:ascii="Montserrat" w:hAnsi="Montserrat"/>
                  <w:sz w:val="22"/>
                </w:rPr>
                <w:t>a declaration</w:t>
              </w:r>
            </w:hyperlink>
            <w:r w:rsidRPr="000F13A7">
              <w:rPr>
                <w:rFonts w:ascii="Montserrat" w:hAnsi="Montserrat"/>
                <w:sz w:val="22"/>
                <w:szCs w:val="22"/>
              </w:rPr>
              <w:t xml:space="preserve"> and provide 100 points of proof of identity.</w:t>
            </w:r>
          </w:p>
        </w:tc>
      </w:tr>
      <w:tr w:rsidR="001B49E5"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1B49E5" w:rsidRPr="000F13A7" w:rsidRDefault="001B49E5" w:rsidP="00F022E6">
            <w:pPr>
              <w:spacing w:after="0" w:line="276" w:lineRule="auto"/>
              <w:rPr>
                <w:rFonts w:cs="Arial"/>
                <w:b/>
                <w:bCs/>
                <w:szCs w:val="22"/>
                <w:lang w:eastAsia="zh-CN"/>
              </w:rPr>
            </w:pPr>
            <w:r w:rsidRPr="000F13A7">
              <w:rPr>
                <w:rFonts w:cs="Arial"/>
                <w:b/>
                <w:bCs/>
                <w:szCs w:val="22"/>
                <w:lang w:eastAsia="zh-CN"/>
              </w:rPr>
              <w:t>Risk management plan</w:t>
            </w:r>
          </w:p>
        </w:tc>
        <w:tc>
          <w:tcPr>
            <w:tcW w:w="8420" w:type="dxa"/>
            <w:gridSpan w:val="2"/>
            <w:shd w:val="clear" w:color="auto" w:fill="auto"/>
          </w:tcPr>
          <w:p w:rsidR="001B49E5" w:rsidRPr="000F13A7" w:rsidRDefault="001B49E5" w:rsidP="002B7632">
            <w:pPr>
              <w:pStyle w:val="BodyText"/>
              <w:numPr>
                <w:ilvl w:val="0"/>
                <w:numId w:val="5"/>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risk management plan for the preschool environment is reviewed and updated annually. It identifies potential risks in both the indoor and outdoor environment, and describes steps taken to reduce or </w:t>
            </w:r>
            <w:proofErr w:type="spellStart"/>
            <w:r w:rsidRPr="000F13A7">
              <w:rPr>
                <w:rFonts w:ascii="Montserrat" w:hAnsi="Montserrat"/>
                <w:sz w:val="22"/>
                <w:szCs w:val="22"/>
              </w:rPr>
              <w:t>minimise</w:t>
            </w:r>
            <w:proofErr w:type="spellEnd"/>
            <w:r w:rsidRPr="000F13A7">
              <w:rPr>
                <w:rFonts w:ascii="Montserrat" w:hAnsi="Montserrat"/>
                <w:sz w:val="22"/>
                <w:szCs w:val="22"/>
              </w:rPr>
              <w:t xml:space="preserve"> these risks. </w:t>
            </w:r>
            <w:r w:rsidR="002B7632" w:rsidRPr="002B7632">
              <w:rPr>
                <w:rFonts w:ascii="Montserrat" w:hAnsi="Montserrat"/>
                <w:sz w:val="22"/>
                <w:szCs w:val="22"/>
              </w:rPr>
              <w:t xml:space="preserve">Educators update this yearly with the input of families invited. </w:t>
            </w:r>
            <w:r w:rsidR="002B7632">
              <w:rPr>
                <w:rFonts w:ascii="Montserrat" w:hAnsi="Montserrat"/>
                <w:sz w:val="22"/>
                <w:szCs w:val="22"/>
              </w:rPr>
              <w:t xml:space="preserve"> Where new risks are identified the preschool teachers add these risks to the risk management plan. </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1B49E5" w:rsidRPr="000F13A7" w:rsidRDefault="001B49E5" w:rsidP="00F022E6">
            <w:pPr>
              <w:spacing w:after="0" w:line="276" w:lineRule="auto"/>
              <w:rPr>
                <w:rFonts w:cs="Arial"/>
                <w:b/>
                <w:bCs/>
                <w:szCs w:val="22"/>
                <w:lang w:eastAsia="zh-CN"/>
              </w:rPr>
            </w:pPr>
            <w:r w:rsidRPr="000F13A7">
              <w:rPr>
                <w:rFonts w:cs="Arial"/>
                <w:b/>
                <w:bCs/>
                <w:szCs w:val="22"/>
                <w:lang w:eastAsia="zh-CN"/>
              </w:rPr>
              <w:t xml:space="preserve">Preschool environment </w:t>
            </w:r>
          </w:p>
        </w:tc>
        <w:tc>
          <w:tcPr>
            <w:tcW w:w="8420" w:type="dxa"/>
            <w:gridSpan w:val="2"/>
            <w:tcBorders>
              <w:top w:val="single" w:sz="4" w:space="0" w:color="auto"/>
              <w:left w:val="single" w:sz="4" w:space="0" w:color="auto"/>
              <w:bottom w:val="single" w:sz="4" w:space="0" w:color="auto"/>
              <w:right w:val="single" w:sz="4" w:space="0" w:color="auto"/>
            </w:tcBorders>
          </w:tcPr>
          <w:p w:rsidR="001B49E5" w:rsidRPr="000F13A7" w:rsidRDefault="001B49E5" w:rsidP="001B49E5">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daily safety check of the indoors and outdoors is carried out before children arrive each day. A record is kept of what is checked, signed and dated by the person who carried out the check. </w:t>
            </w:r>
            <w:r w:rsidR="0014141B">
              <w:rPr>
                <w:rFonts w:ascii="Montserrat" w:hAnsi="Montserrat"/>
                <w:sz w:val="22"/>
                <w:szCs w:val="22"/>
              </w:rPr>
              <w:t xml:space="preserve">This record is kept in the kitchen and is completed by the rostered teacher each day. </w:t>
            </w:r>
          </w:p>
          <w:p w:rsidR="001B49E5" w:rsidRPr="000F13A7" w:rsidRDefault="001B49E5" w:rsidP="001B49E5">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Any hazardous or broken items are rectified or removed from areas the children can access. </w:t>
            </w:r>
          </w:p>
          <w:p w:rsidR="001B49E5" w:rsidRPr="000F13A7" w:rsidRDefault="001B49E5" w:rsidP="001B49E5">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required, preschool maintenance is carried out by the school’s General Assistant. </w:t>
            </w:r>
            <w:r w:rsidR="00571611">
              <w:rPr>
                <w:rFonts w:ascii="Montserrat" w:hAnsi="Montserrat"/>
                <w:sz w:val="22"/>
                <w:szCs w:val="22"/>
              </w:rPr>
              <w:t>Maintenance</w:t>
            </w:r>
            <w:r w:rsidR="0014141B">
              <w:rPr>
                <w:rFonts w:ascii="Montserrat" w:hAnsi="Montserrat"/>
                <w:sz w:val="22"/>
                <w:szCs w:val="22"/>
              </w:rPr>
              <w:t xml:space="preserve"> is recorded in the </w:t>
            </w:r>
            <w:r w:rsidR="00571611">
              <w:rPr>
                <w:rFonts w:ascii="Montserrat" w:hAnsi="Montserrat"/>
                <w:sz w:val="22"/>
                <w:szCs w:val="22"/>
              </w:rPr>
              <w:t>maintenance</w:t>
            </w:r>
            <w:r w:rsidR="0014141B">
              <w:rPr>
                <w:rFonts w:ascii="Montserrat" w:hAnsi="Montserrat"/>
                <w:sz w:val="22"/>
                <w:szCs w:val="22"/>
              </w:rPr>
              <w:t xml:space="preserve"> log which is check</w:t>
            </w:r>
            <w:r w:rsidR="008172BA">
              <w:rPr>
                <w:rFonts w:ascii="Montserrat" w:hAnsi="Montserrat"/>
                <w:sz w:val="22"/>
                <w:szCs w:val="22"/>
              </w:rPr>
              <w:t>ed by the GA</w:t>
            </w:r>
            <w:r w:rsidR="0014141B">
              <w:rPr>
                <w:rFonts w:ascii="Montserrat" w:hAnsi="Montserrat"/>
                <w:sz w:val="22"/>
                <w:szCs w:val="22"/>
              </w:rPr>
              <w:t xml:space="preserve"> each Friday. When a trades person is required, this is </w:t>
            </w:r>
            <w:proofErr w:type="spellStart"/>
            <w:r w:rsidR="0014141B">
              <w:rPr>
                <w:rFonts w:ascii="Montserrat" w:hAnsi="Montserrat"/>
                <w:sz w:val="22"/>
                <w:szCs w:val="22"/>
              </w:rPr>
              <w:t>organised</w:t>
            </w:r>
            <w:proofErr w:type="spellEnd"/>
            <w:r w:rsidR="0014141B">
              <w:rPr>
                <w:rFonts w:ascii="Montserrat" w:hAnsi="Montserrat"/>
                <w:sz w:val="22"/>
                <w:szCs w:val="22"/>
              </w:rPr>
              <w:t xml:space="preserve"> by Julie</w:t>
            </w:r>
            <w:r w:rsidR="008172BA">
              <w:rPr>
                <w:rFonts w:ascii="Montserrat" w:hAnsi="Montserrat"/>
                <w:sz w:val="22"/>
                <w:szCs w:val="22"/>
              </w:rPr>
              <w:t xml:space="preserve"> Shephard</w:t>
            </w:r>
            <w:r w:rsidR="0014141B">
              <w:rPr>
                <w:rFonts w:ascii="Montserrat" w:hAnsi="Montserrat"/>
                <w:sz w:val="22"/>
                <w:szCs w:val="22"/>
              </w:rPr>
              <w:t xml:space="preserve"> (SAM) in the school office. </w:t>
            </w:r>
          </w:p>
          <w:p w:rsidR="0014141B" w:rsidRPr="0014141B" w:rsidRDefault="001B49E5" w:rsidP="001B49E5">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14141B">
              <w:rPr>
                <w:rFonts w:ascii="Montserrat" w:hAnsi="Montserrat"/>
                <w:sz w:val="22"/>
                <w:szCs w:val="22"/>
              </w:rPr>
              <w:t>All potentially hazardous products and materials are stored securely and inaccessible to children. The area in which they are stored is labelled as containing</w:t>
            </w:r>
            <w:r w:rsidRPr="0014141B">
              <w:rPr>
                <w:rFonts w:ascii="Montserrat" w:hAnsi="Montserrat"/>
                <w:i/>
                <w:sz w:val="22"/>
                <w:szCs w:val="22"/>
              </w:rPr>
              <w:t xml:space="preserve"> hazardous</w:t>
            </w:r>
            <w:r w:rsidRPr="0014141B">
              <w:rPr>
                <w:rFonts w:ascii="Montserrat" w:hAnsi="Montserrat"/>
                <w:sz w:val="22"/>
                <w:szCs w:val="22"/>
              </w:rPr>
              <w:t xml:space="preserve"> or</w:t>
            </w:r>
            <w:r w:rsidRPr="0014141B">
              <w:rPr>
                <w:rFonts w:ascii="Montserrat" w:hAnsi="Montserrat"/>
                <w:i/>
                <w:sz w:val="22"/>
                <w:szCs w:val="22"/>
              </w:rPr>
              <w:t xml:space="preserve"> dangerous</w:t>
            </w:r>
            <w:r w:rsidRPr="0014141B">
              <w:rPr>
                <w:rFonts w:ascii="Montserrat" w:hAnsi="Montserrat"/>
                <w:sz w:val="22"/>
                <w:szCs w:val="22"/>
              </w:rPr>
              <w:t xml:space="preserve"> materials. </w:t>
            </w:r>
            <w:r w:rsidR="0014141B" w:rsidRPr="0014141B">
              <w:rPr>
                <w:rFonts w:ascii="Montserrat" w:hAnsi="Montserrat"/>
                <w:sz w:val="22"/>
                <w:szCs w:val="22"/>
              </w:rPr>
              <w:t xml:space="preserve">These items are stored in a high locked cupboard in the kitchen and in the locked laundry room. </w:t>
            </w:r>
            <w:r w:rsidR="0014141B">
              <w:rPr>
                <w:rFonts w:ascii="Montserrat" w:hAnsi="Montserrat"/>
                <w:sz w:val="22"/>
                <w:szCs w:val="22"/>
              </w:rPr>
              <w:t xml:space="preserve">Medications are stored in a lock box in the medicine cupboard. </w:t>
            </w:r>
          </w:p>
          <w:p w:rsidR="001B49E5" w:rsidRPr="0014141B" w:rsidRDefault="001B49E5" w:rsidP="001B49E5">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14141B">
              <w:rPr>
                <w:rFonts w:ascii="Montserrat" w:hAnsi="Montserrat"/>
                <w:sz w:val="22"/>
                <w:szCs w:val="22"/>
              </w:rPr>
              <w:t xml:space="preserve">There are no toxic plants on the preschool site. Before a new plant is introduced to the site, reference is made to </w:t>
            </w:r>
            <w:hyperlink r:id="rId22" w:anchor="plants-to-avoid" w:history="1">
              <w:proofErr w:type="spellStart"/>
              <w:r w:rsidRPr="0014141B">
                <w:rPr>
                  <w:rStyle w:val="Hyperlink"/>
                  <w:rFonts w:ascii="Montserrat" w:hAnsi="Montserrat"/>
                  <w:sz w:val="22"/>
                  <w:szCs w:val="22"/>
                </w:rPr>
                <w:t>Kidsafe</w:t>
              </w:r>
              <w:proofErr w:type="spellEnd"/>
              <w:r w:rsidRPr="0014141B">
                <w:rPr>
                  <w:rStyle w:val="Hyperlink"/>
                  <w:rFonts w:ascii="Montserrat" w:hAnsi="Montserrat"/>
                  <w:sz w:val="22"/>
                  <w:szCs w:val="22"/>
                </w:rPr>
                <w:t>: Grow me safely</w:t>
              </w:r>
            </w:hyperlink>
            <w:r w:rsidRPr="0014141B">
              <w:rPr>
                <w:rFonts w:ascii="Montserrat" w:hAnsi="Montserrat"/>
                <w:sz w:val="22"/>
                <w:szCs w:val="22"/>
              </w:rPr>
              <w:t xml:space="preserve"> to determine if it is safe or not. </w:t>
            </w:r>
          </w:p>
          <w:p w:rsidR="0014141B" w:rsidRPr="008172BA" w:rsidRDefault="001B49E5" w:rsidP="001B49E5">
            <w:pPr>
              <w:pStyle w:val="ListParagraph"/>
              <w:numPr>
                <w:ilvl w:val="0"/>
                <w:numId w:val="5"/>
              </w:numPr>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Environmental and equipment cleaning is an ongoing process to ensure the preschool is always safe and hygienic. </w:t>
            </w:r>
            <w:r w:rsidR="0014141B">
              <w:rPr>
                <w:rFonts w:ascii="Montserrat" w:hAnsi="Montserrat"/>
                <w:sz w:val="22"/>
                <w:szCs w:val="22"/>
              </w:rPr>
              <w:t xml:space="preserve">Resources are </w:t>
            </w:r>
            <w:r w:rsidR="0014141B">
              <w:rPr>
                <w:rFonts w:ascii="Montserrat" w:hAnsi="Montserrat"/>
                <w:sz w:val="22"/>
                <w:szCs w:val="22"/>
              </w:rPr>
              <w:lastRenderedPageBreak/>
              <w:t xml:space="preserve">disinfected twice a day, and products used are carefully considered to reduce triggering risks to the children’s health such as asthma, allergies and poisoning. </w:t>
            </w:r>
          </w:p>
          <w:p w:rsidR="008172BA" w:rsidRPr="008172BA" w:rsidRDefault="008172BA" w:rsidP="001B49E5">
            <w:pPr>
              <w:pStyle w:val="ListParagraph"/>
              <w:numPr>
                <w:ilvl w:val="0"/>
                <w:numId w:val="5"/>
              </w:numPr>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172BA">
              <w:rPr>
                <w:rFonts w:ascii="Montserrat" w:hAnsi="Montserrat"/>
                <w:sz w:val="22"/>
                <w:szCs w:val="22"/>
              </w:rPr>
              <w:t xml:space="preserve">The Sandpit is covered daily to prevent contamination. The sandpit is topped up annually or as necessary (when less than 100mm from the top edge). The sandpit is cleaned periodically by either: </w:t>
            </w:r>
          </w:p>
          <w:p w:rsidR="008172BA" w:rsidRPr="008172BA" w:rsidRDefault="008172BA" w:rsidP="008172BA">
            <w:pPr>
              <w:pStyle w:val="ListParagraph"/>
              <w:numPr>
                <w:ilvl w:val="2"/>
                <w:numId w:val="8"/>
              </w:numPr>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172BA">
              <w:rPr>
                <w:rFonts w:ascii="Montserrat" w:hAnsi="Montserrat"/>
                <w:sz w:val="22"/>
                <w:szCs w:val="22"/>
              </w:rPr>
              <w:t xml:space="preserve">Watering with either mild detergent, diluted household disinfectant or 1:10 solution of bleach; </w:t>
            </w:r>
          </w:p>
          <w:p w:rsidR="008172BA" w:rsidRPr="008172BA" w:rsidRDefault="008172BA" w:rsidP="008172BA">
            <w:pPr>
              <w:pStyle w:val="ListParagraph"/>
              <w:numPr>
                <w:ilvl w:val="2"/>
                <w:numId w:val="8"/>
              </w:numPr>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172BA">
              <w:rPr>
                <w:rFonts w:ascii="Montserrat" w:hAnsi="Montserrat"/>
                <w:sz w:val="22"/>
                <w:szCs w:val="22"/>
              </w:rPr>
              <w:t xml:space="preserve">Raking through with salt; or </w:t>
            </w:r>
          </w:p>
          <w:p w:rsidR="008172BA" w:rsidRPr="008172BA" w:rsidRDefault="008172BA" w:rsidP="008172BA">
            <w:pPr>
              <w:pStyle w:val="ListParagraph"/>
              <w:numPr>
                <w:ilvl w:val="2"/>
                <w:numId w:val="8"/>
              </w:numPr>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172BA">
              <w:rPr>
                <w:rFonts w:ascii="Montserrat" w:hAnsi="Montserrat"/>
                <w:sz w:val="22"/>
                <w:szCs w:val="22"/>
              </w:rPr>
              <w:t xml:space="preserve">Digging the sand over monthly to reduce moisture and stop the sand from turning sour. </w:t>
            </w:r>
          </w:p>
          <w:p w:rsidR="001B49E5" w:rsidRPr="008172BA" w:rsidRDefault="008172BA" w:rsidP="008172BA">
            <w:pPr>
              <w:pStyle w:val="ListParagraph"/>
              <w:numPr>
                <w:ilvl w:val="0"/>
                <w:numId w:val="5"/>
              </w:numPr>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172BA">
              <w:rPr>
                <w:rFonts w:ascii="Montserrat" w:hAnsi="Montserrat"/>
                <w:sz w:val="22"/>
                <w:szCs w:val="22"/>
              </w:rPr>
              <w:t xml:space="preserve">Our GA attends to the preschool each morning, using a pressure cleaner and disinfectant to remove excrement from the concrete from our local bat population.  </w:t>
            </w:r>
          </w:p>
        </w:tc>
      </w:tr>
    </w:tbl>
    <w:p w:rsidR="001B49E5" w:rsidRPr="000F13A7" w:rsidRDefault="001B49E5" w:rsidP="001B49E5">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1B49E5"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1B49E5" w:rsidRPr="000F13A7" w:rsidRDefault="001B49E5" w:rsidP="00F022E6">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1B49E5" w:rsidRPr="000F13A7" w:rsidRDefault="001B49E5" w:rsidP="00F022E6">
            <w:pPr>
              <w:spacing w:line="276" w:lineRule="auto"/>
              <w:rPr>
                <w:rFonts w:cs="Arial"/>
                <w:b/>
                <w:bCs/>
                <w:szCs w:val="22"/>
                <w:lang w:eastAsia="zh-CN"/>
              </w:rPr>
            </w:pPr>
            <w:r w:rsidRPr="000F13A7">
              <w:rPr>
                <w:rFonts w:cs="Arial"/>
                <w:b/>
                <w:bCs/>
                <w:szCs w:val="22"/>
              </w:rPr>
              <w:t>Date of review and who was involved</w:t>
            </w:r>
          </w:p>
        </w:tc>
      </w:tr>
      <w:tr w:rsidR="001B49E5"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B49E5" w:rsidRPr="000F13A7" w:rsidRDefault="001B49E5" w:rsidP="001B49E5">
            <w:pPr>
              <w:spacing w:line="276" w:lineRule="auto"/>
              <w:rPr>
                <w:rFonts w:cs="Arial"/>
                <w:szCs w:val="22"/>
                <w:lang w:eastAsia="zh-CN"/>
              </w:rPr>
            </w:pPr>
            <w:r>
              <w:rPr>
                <w:rFonts w:cs="Arial"/>
                <w:szCs w:val="22"/>
                <w:lang w:eastAsia="zh-CN"/>
              </w:rPr>
              <w:t xml:space="preserve">Emily Roalfe 4/11/2021 </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1B49E5" w:rsidRPr="000F13A7" w:rsidRDefault="001B49E5" w:rsidP="001B49E5">
            <w:pPr>
              <w:spacing w:line="276" w:lineRule="auto"/>
              <w:rPr>
                <w:rFonts w:cs="Arial"/>
                <w:b/>
                <w:bCs/>
                <w:szCs w:val="22"/>
                <w:lang w:eastAsia="zh-CN"/>
              </w:rPr>
            </w:pPr>
            <w:r w:rsidRPr="000F13A7">
              <w:rPr>
                <w:rFonts w:cs="Arial"/>
                <w:b/>
                <w:bCs/>
                <w:szCs w:val="22"/>
              </w:rPr>
              <w:t>Key changes made and reason/s why</w:t>
            </w:r>
          </w:p>
        </w:tc>
      </w:tr>
      <w:tr w:rsidR="001B49E5"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B49E5" w:rsidRPr="000F13A7" w:rsidRDefault="001B49E5" w:rsidP="001B49E5">
            <w:pPr>
              <w:spacing w:line="276" w:lineRule="auto"/>
              <w:rPr>
                <w:rFonts w:cs="Arial"/>
                <w:szCs w:val="22"/>
                <w:lang w:eastAsia="zh-CN"/>
              </w:rPr>
            </w:pPr>
            <w:r>
              <w:rPr>
                <w:rFonts w:cs="Arial"/>
                <w:szCs w:val="22"/>
                <w:lang w:eastAsia="zh-CN"/>
              </w:rPr>
              <w:t xml:space="preserve">Update from old template to new template. Minor changes as needed. </w:t>
            </w:r>
          </w:p>
        </w:tc>
      </w:tr>
      <w:tr w:rsidR="001B49E5"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1B49E5" w:rsidRPr="000F13A7" w:rsidRDefault="001B49E5" w:rsidP="001B49E5">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1B49E5"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B49E5" w:rsidRPr="000F13A7" w:rsidRDefault="001B49E5" w:rsidP="001B49E5">
            <w:pPr>
              <w:spacing w:before="192" w:after="0" w:line="276" w:lineRule="auto"/>
              <w:rPr>
                <w:rFonts w:cs="Arial"/>
                <w:szCs w:val="22"/>
                <w:lang w:eastAsia="zh-CN"/>
              </w:rPr>
            </w:pPr>
            <w:r>
              <w:rPr>
                <w:rFonts w:cs="Arial"/>
                <w:szCs w:val="22"/>
                <w:lang w:eastAsia="zh-CN"/>
              </w:rPr>
              <w:t xml:space="preserve">Communicated with core staff 4/11/2021 with printed policy to review in detail. </w:t>
            </w:r>
          </w:p>
        </w:tc>
      </w:tr>
    </w:tbl>
    <w:p w:rsidR="001B49E5" w:rsidRPr="000F13A7" w:rsidRDefault="001B49E5" w:rsidP="001B49E5">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571611" w:rsidRPr="000F13A7" w:rsidTr="009D69C3">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571611" w:rsidRPr="000F13A7" w:rsidRDefault="00571611" w:rsidP="009D69C3">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571611" w:rsidRPr="000F13A7" w:rsidTr="009D6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571611" w:rsidRPr="000F13A7" w:rsidRDefault="00571611" w:rsidP="009D69C3">
            <w:pPr>
              <w:spacing w:line="276" w:lineRule="auto"/>
              <w:rPr>
                <w:rFonts w:cs="Arial"/>
                <w:b/>
                <w:bCs/>
                <w:szCs w:val="22"/>
                <w:lang w:eastAsia="zh-CN"/>
              </w:rPr>
            </w:pPr>
            <w:r w:rsidRPr="000F13A7">
              <w:rPr>
                <w:rFonts w:cs="Arial"/>
                <w:b/>
                <w:bCs/>
                <w:szCs w:val="22"/>
              </w:rPr>
              <w:t>Date of review and who was involved</w:t>
            </w:r>
          </w:p>
        </w:tc>
      </w:tr>
      <w:tr w:rsidR="00571611" w:rsidRPr="000F13A7" w:rsidTr="009D6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1611" w:rsidRPr="000F13A7" w:rsidRDefault="00571611" w:rsidP="009D69C3">
            <w:pPr>
              <w:spacing w:line="276" w:lineRule="auto"/>
              <w:rPr>
                <w:rFonts w:cs="Arial"/>
                <w:szCs w:val="22"/>
                <w:lang w:eastAsia="zh-CN"/>
              </w:rPr>
            </w:pPr>
            <w:r>
              <w:rPr>
                <w:rFonts w:cs="Arial"/>
                <w:szCs w:val="22"/>
                <w:lang w:eastAsia="zh-CN"/>
              </w:rPr>
              <w:t>25/3/22 Emily Roalfe</w:t>
            </w:r>
            <w:r>
              <w:rPr>
                <w:rFonts w:cs="Arial"/>
                <w:szCs w:val="22"/>
                <w:lang w:eastAsia="zh-CN"/>
              </w:rPr>
              <w:t>, Preschool team</w:t>
            </w:r>
          </w:p>
        </w:tc>
      </w:tr>
      <w:tr w:rsidR="00571611" w:rsidRPr="000F13A7" w:rsidTr="009D6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571611" w:rsidRPr="000F13A7" w:rsidRDefault="00571611" w:rsidP="009D69C3">
            <w:pPr>
              <w:spacing w:line="276" w:lineRule="auto"/>
              <w:rPr>
                <w:rFonts w:cs="Arial"/>
                <w:b/>
                <w:bCs/>
                <w:szCs w:val="22"/>
                <w:lang w:eastAsia="zh-CN"/>
              </w:rPr>
            </w:pPr>
            <w:r w:rsidRPr="000F13A7">
              <w:rPr>
                <w:rFonts w:cs="Arial"/>
                <w:b/>
                <w:bCs/>
                <w:szCs w:val="22"/>
              </w:rPr>
              <w:t>Key changes made and reason/s why</w:t>
            </w:r>
          </w:p>
        </w:tc>
      </w:tr>
      <w:tr w:rsidR="00571611" w:rsidRPr="000F13A7" w:rsidTr="009D6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1611" w:rsidRPr="000F13A7" w:rsidRDefault="00571611" w:rsidP="009D69C3">
            <w:pPr>
              <w:spacing w:line="276" w:lineRule="auto"/>
              <w:rPr>
                <w:rFonts w:cs="Arial"/>
                <w:szCs w:val="22"/>
                <w:lang w:eastAsia="zh-CN"/>
              </w:rPr>
            </w:pPr>
            <w:r>
              <w:rPr>
                <w:rFonts w:cs="Arial"/>
                <w:szCs w:val="22"/>
                <w:lang w:eastAsia="zh-CN"/>
              </w:rPr>
              <w:t>Minor grammatical updates</w:t>
            </w:r>
            <w:r>
              <w:rPr>
                <w:rFonts w:cs="Arial"/>
                <w:szCs w:val="22"/>
                <w:lang w:eastAsia="zh-CN"/>
              </w:rPr>
              <w:t xml:space="preserve"> </w:t>
            </w:r>
          </w:p>
        </w:tc>
      </w:tr>
      <w:tr w:rsidR="00571611" w:rsidRPr="000F13A7" w:rsidTr="009D6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571611" w:rsidRPr="000F13A7" w:rsidRDefault="00571611" w:rsidP="009D69C3">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571611" w:rsidRPr="000F13A7" w:rsidTr="009D6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1611" w:rsidRPr="000F13A7" w:rsidRDefault="00571611" w:rsidP="009D69C3">
            <w:pPr>
              <w:spacing w:before="192" w:after="0" w:line="276" w:lineRule="auto"/>
              <w:rPr>
                <w:rFonts w:cs="Arial"/>
                <w:szCs w:val="22"/>
                <w:lang w:eastAsia="zh-CN"/>
              </w:rPr>
            </w:pPr>
            <w:r>
              <w:rPr>
                <w:rFonts w:cs="Arial"/>
                <w:szCs w:val="22"/>
                <w:lang w:eastAsia="zh-CN"/>
              </w:rPr>
              <w:t xml:space="preserve">Communicated with core staff </w:t>
            </w:r>
            <w:r>
              <w:rPr>
                <w:rFonts w:cs="Arial"/>
                <w:szCs w:val="22"/>
                <w:lang w:eastAsia="zh-CN"/>
              </w:rPr>
              <w:t>25/3/</w:t>
            </w:r>
            <w:r>
              <w:rPr>
                <w:rFonts w:cs="Arial"/>
                <w:szCs w:val="22"/>
                <w:lang w:eastAsia="zh-CN"/>
              </w:rPr>
              <w:t>202</w:t>
            </w:r>
            <w:r>
              <w:rPr>
                <w:rFonts w:cs="Arial"/>
                <w:szCs w:val="22"/>
                <w:lang w:eastAsia="zh-CN"/>
              </w:rPr>
              <w:t>2</w:t>
            </w:r>
            <w:r>
              <w:rPr>
                <w:rFonts w:cs="Arial"/>
                <w:szCs w:val="22"/>
                <w:lang w:eastAsia="zh-CN"/>
              </w:rPr>
              <w:t xml:space="preserve"> with printed policy to review in detail. </w:t>
            </w:r>
          </w:p>
        </w:tc>
      </w:tr>
    </w:tbl>
    <w:p w:rsidR="003C43CC" w:rsidRDefault="00571611" w:rsidP="001B49E5">
      <w:bookmarkStart w:id="1" w:name="_GoBack"/>
      <w:bookmarkEnd w:id="1"/>
    </w:p>
    <w:sectPr w:rsidR="003C43CC" w:rsidSect="001B49E5">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9E5" w:rsidRDefault="001B49E5" w:rsidP="001B49E5">
      <w:pPr>
        <w:spacing w:before="0" w:after="0" w:line="240" w:lineRule="auto"/>
      </w:pPr>
      <w:r>
        <w:separator/>
      </w:r>
    </w:p>
  </w:endnote>
  <w:endnote w:type="continuationSeparator" w:id="0">
    <w:p w:rsidR="001B49E5" w:rsidRDefault="001B49E5" w:rsidP="001B49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63" w:rsidRDefault="003B6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E5" w:rsidRPr="001B49E5" w:rsidRDefault="001B49E5" w:rsidP="001B49E5">
    <w:pPr>
      <w:tabs>
        <w:tab w:val="center" w:pos="4513"/>
        <w:tab w:val="right" w:pos="9026"/>
      </w:tabs>
      <w:spacing w:before="0" w:after="0" w:line="240" w:lineRule="auto"/>
    </w:pPr>
    <w:r w:rsidRPr="001B49E5">
      <w:fldChar w:fldCharType="begin"/>
    </w:r>
    <w:r w:rsidRPr="001B49E5">
      <w:instrText xml:space="preserve"> PAGE   \* MERGEFORMAT </w:instrText>
    </w:r>
    <w:r w:rsidRPr="001B49E5">
      <w:fldChar w:fldCharType="separate"/>
    </w:r>
    <w:r w:rsidRPr="001B49E5">
      <w:t>6</w:t>
    </w:r>
    <w:r w:rsidRPr="001B49E5">
      <w:rPr>
        <w:b/>
        <w:bCs/>
        <w:noProof/>
      </w:rPr>
      <w:fldChar w:fldCharType="end"/>
    </w:r>
    <w:r w:rsidRPr="001B49E5">
      <w:rPr>
        <w:b/>
        <w:bCs/>
      </w:rPr>
      <w:t xml:space="preserve"> </w:t>
    </w:r>
    <w:r w:rsidRPr="001B49E5">
      <w:t>|</w:t>
    </w:r>
    <w:r w:rsidRPr="001B49E5">
      <w:rPr>
        <w:b/>
        <w:bCs/>
      </w:rPr>
      <w:t xml:space="preserve"> </w:t>
    </w:r>
    <w:r w:rsidRPr="001B49E5">
      <w:rPr>
        <w:color w:val="7F7F7F" w:themeColor="background1" w:themeShade="7F"/>
        <w:spacing w:val="60"/>
      </w:rPr>
      <w:t xml:space="preserve">Page </w:t>
    </w:r>
    <w:r w:rsidRPr="001B49E5">
      <w:t xml:space="preserve">Casino Public School Localised Procedure </w:t>
    </w:r>
    <w:r w:rsidRPr="001B49E5">
      <w:tab/>
      <w:t>Reviewed: 4/11/2021</w:t>
    </w:r>
  </w:p>
  <w:p w:rsidR="001B49E5" w:rsidRDefault="001B4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63" w:rsidRDefault="003B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9E5" w:rsidRDefault="001B49E5" w:rsidP="001B49E5">
      <w:pPr>
        <w:spacing w:before="0" w:after="0" w:line="240" w:lineRule="auto"/>
      </w:pPr>
      <w:r>
        <w:separator/>
      </w:r>
    </w:p>
  </w:footnote>
  <w:footnote w:type="continuationSeparator" w:id="0">
    <w:p w:rsidR="001B49E5" w:rsidRDefault="001B49E5" w:rsidP="001B49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63" w:rsidRDefault="003B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E5" w:rsidRPr="001B49E5" w:rsidRDefault="001B49E5" w:rsidP="001B49E5">
    <w:pPr>
      <w:tabs>
        <w:tab w:val="center" w:pos="4513"/>
        <w:tab w:val="right" w:pos="9026"/>
      </w:tabs>
      <w:spacing w:after="0" w:line="240" w:lineRule="auto"/>
      <w:jc w:val="right"/>
      <w:rPr>
        <w:sz w:val="32"/>
      </w:rPr>
    </w:pPr>
    <w:bookmarkStart w:id="2" w:name="_Hlk86926942"/>
    <w:r w:rsidRPr="001B49E5">
      <w:rPr>
        <w:noProof/>
        <w:sz w:val="32"/>
      </w:rPr>
      <w:drawing>
        <wp:anchor distT="0" distB="0" distL="114300" distR="114300" simplePos="0" relativeHeight="251659264" behindDoc="1" locked="0" layoutInCell="1" allowOverlap="1" wp14:anchorId="2BC73C50" wp14:editId="15618D8D">
          <wp:simplePos x="0" y="0"/>
          <wp:positionH relativeFrom="margin">
            <wp:posOffset>171450</wp:posOffset>
          </wp:positionH>
          <wp:positionV relativeFrom="paragraph">
            <wp:posOffset>8255</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9E5">
      <w:rPr>
        <w:sz w:val="32"/>
      </w:rPr>
      <w:t xml:space="preserve">Casino Public School – </w:t>
    </w:r>
    <w:proofErr w:type="spellStart"/>
    <w:r w:rsidRPr="001B49E5">
      <w:rPr>
        <w:sz w:val="32"/>
      </w:rPr>
      <w:t>Djanenjam</w:t>
    </w:r>
    <w:proofErr w:type="spellEnd"/>
    <w:r w:rsidRPr="001B49E5">
      <w:rPr>
        <w:sz w:val="32"/>
      </w:rPr>
      <w:t xml:space="preserve"> Preschool</w:t>
    </w:r>
  </w:p>
  <w:p w:rsidR="001B49E5" w:rsidRPr="001B49E5" w:rsidRDefault="001B49E5" w:rsidP="001B49E5">
    <w:pPr>
      <w:tabs>
        <w:tab w:val="center" w:pos="4513"/>
        <w:tab w:val="right" w:pos="9026"/>
      </w:tabs>
      <w:spacing w:after="0" w:line="240" w:lineRule="auto"/>
      <w:jc w:val="right"/>
      <w:rPr>
        <w:sz w:val="32"/>
      </w:rPr>
    </w:pPr>
    <w:r w:rsidRPr="001B49E5">
      <w:rPr>
        <w:sz w:val="32"/>
      </w:rPr>
      <w:t>Localised Procedure</w:t>
    </w:r>
  </w:p>
  <w:bookmarkEnd w:id="2"/>
  <w:p w:rsidR="001B49E5" w:rsidRDefault="001B4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63" w:rsidRDefault="003B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B2C03"/>
    <w:multiLevelType w:val="hybridMultilevel"/>
    <w:tmpl w:val="451CD0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3B22E81C">
      <w:start w:val="1"/>
      <w:numFmt w:val="bullet"/>
      <w:lvlText w:val="-"/>
      <w:lvlJc w:val="left"/>
      <w:pPr>
        <w:ind w:left="2160" w:hanging="360"/>
      </w:pPr>
      <w:rPr>
        <w:rFonts w:ascii="Montserrat" w:eastAsiaTheme="minorHAnsi" w:hAnsi="Montserrat"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B1463E"/>
    <w:multiLevelType w:val="hybridMultilevel"/>
    <w:tmpl w:val="0952F5AA"/>
    <w:lvl w:ilvl="0" w:tplc="3A9A6F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D3DAB"/>
    <w:multiLevelType w:val="hybridMultilevel"/>
    <w:tmpl w:val="AEBCFC0E"/>
    <w:lvl w:ilvl="0" w:tplc="554C9C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E5"/>
    <w:rsid w:val="00030938"/>
    <w:rsid w:val="0014141B"/>
    <w:rsid w:val="001B49E5"/>
    <w:rsid w:val="002732A0"/>
    <w:rsid w:val="002B7632"/>
    <w:rsid w:val="003B6863"/>
    <w:rsid w:val="00571611"/>
    <w:rsid w:val="006B1EBF"/>
    <w:rsid w:val="00712605"/>
    <w:rsid w:val="00817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08A0"/>
  <w15:chartTrackingRefBased/>
  <w15:docId w15:val="{3DE2EAE6-A0E3-4C82-A951-001912C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1B49E5"/>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1B49E5"/>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1B49E5"/>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1B49E5"/>
    <w:rPr>
      <w:color w:val="2F5496" w:themeColor="accent1" w:themeShade="BF"/>
      <w:u w:val="single"/>
    </w:rPr>
  </w:style>
  <w:style w:type="table" w:customStyle="1" w:styleId="Tableheader">
    <w:name w:val="ŠTable header"/>
    <w:basedOn w:val="TableNormal"/>
    <w:uiPriority w:val="99"/>
    <w:rsid w:val="001B49E5"/>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BodyText">
    <w:name w:val="Body Text"/>
    <w:basedOn w:val="Normal"/>
    <w:link w:val="BodyTextChar"/>
    <w:uiPriority w:val="1"/>
    <w:qFormat/>
    <w:rsid w:val="001B49E5"/>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1B49E5"/>
    <w:rPr>
      <w:rFonts w:ascii="Arial" w:eastAsia="Arial" w:hAnsi="Arial" w:cs="Arial"/>
      <w:sz w:val="24"/>
      <w:szCs w:val="24"/>
      <w:lang w:eastAsia="en-AU" w:bidi="en-AU"/>
    </w:rPr>
  </w:style>
  <w:style w:type="paragraph" w:styleId="ListParagraph">
    <w:name w:val="List Paragraph"/>
    <w:basedOn w:val="Normal"/>
    <w:uiPriority w:val="1"/>
    <w:qFormat/>
    <w:rsid w:val="001B49E5"/>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1B49E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49E5"/>
    <w:rPr>
      <w:rFonts w:ascii="Montserrat" w:hAnsi="Montserrat"/>
      <w:sz w:val="20"/>
      <w:szCs w:val="24"/>
    </w:rPr>
  </w:style>
  <w:style w:type="paragraph" w:styleId="Footer">
    <w:name w:val="footer"/>
    <w:basedOn w:val="Normal"/>
    <w:link w:val="FooterChar"/>
    <w:uiPriority w:val="99"/>
    <w:unhideWhenUsed/>
    <w:rsid w:val="001B49E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49E5"/>
    <w:rPr>
      <w:rFonts w:ascii="Montserrat" w:hAnsi="Montserrat"/>
      <w:sz w:val="20"/>
      <w:szCs w:val="24"/>
    </w:rPr>
  </w:style>
  <w:style w:type="paragraph" w:styleId="BalloonText">
    <w:name w:val="Balloon Text"/>
    <w:basedOn w:val="Normal"/>
    <w:link w:val="BalloonTextChar"/>
    <w:uiPriority w:val="99"/>
    <w:semiHidden/>
    <w:unhideWhenUsed/>
    <w:rsid w:val="006B1E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child-protection-policy-responding-to-and-reporting-students-at-risk-of-harm?refid=285776" TargetMode="External"/><Relationship Id="rId18" Type="http://schemas.openxmlformats.org/officeDocument/2006/relationships/hyperlink" Target="https://policies.education.nsw.gov.au/policy-library/associated-documents/non-child-related-declaration-wwcc.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olicies.education.nsw.gov.au/policy-library/associated-documents/non-child-related-declaration-wwcc.pdf" TargetMode="External"/><Relationship Id="rId7" Type="http://schemas.openxmlformats.org/officeDocument/2006/relationships/hyperlink" Target="https://www.legislation.nsw.gov.au/" TargetMode="External"/><Relationship Id="rId12" Type="http://schemas.openxmlformats.org/officeDocument/2006/relationships/hyperlink" Target="https://schoolsequella.det.nsw.edu.au/file/a240a1ff-d3e3-4883-92b4-a3591f4e12d7/1/leading-and-operating-department-preschool-guidelines.pdf" TargetMode="External"/><Relationship Id="rId17" Type="http://schemas.openxmlformats.org/officeDocument/2006/relationships/hyperlink" Target="https://education.nsw.gov.au/inside-the-department/health-and-safety/risk-management/student-safety"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education.nsw.gov.au/policy-library/policies/work-health-and-safety-whs-policy" TargetMode="External"/><Relationship Id="rId20" Type="http://schemas.openxmlformats.org/officeDocument/2006/relationships/hyperlink" Target="https://www.kidsafensw.org/growplantssafel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ducation.nsw.gov.au/policy-library/policies/child-protection-allegations-against-employe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egislation.nsw.gov.au/" TargetMode="External"/><Relationship Id="rId19" Type="http://schemas.openxmlformats.org/officeDocument/2006/relationships/hyperlink" Target="https://kidsafe.com.au/"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education.nsw.gov.au/policy-library/policies/working-with-children-check-policy" TargetMode="External"/><Relationship Id="rId22" Type="http://schemas.openxmlformats.org/officeDocument/2006/relationships/hyperlink" Target="https://www.kidsafensw.org/growplantssafely/"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www.legislation.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FAB22F-5C58-4611-BA06-CB21FCBACF4F}"/>
</file>

<file path=customXml/itemProps2.xml><?xml version="1.0" encoding="utf-8"?>
<ds:datastoreItem xmlns:ds="http://schemas.openxmlformats.org/officeDocument/2006/customXml" ds:itemID="{9FA1298C-8F4F-49FD-9D43-475C96E27B1C}"/>
</file>

<file path=customXml/itemProps3.xml><?xml version="1.0" encoding="utf-8"?>
<ds:datastoreItem xmlns:ds="http://schemas.openxmlformats.org/officeDocument/2006/customXml" ds:itemID="{1B725861-D67B-4881-AC54-3144A95100FF}"/>
</file>

<file path=docProps/app.xml><?xml version="1.0" encoding="utf-8"?>
<Properties xmlns="http://schemas.openxmlformats.org/officeDocument/2006/extended-properties" xmlns:vt="http://schemas.openxmlformats.org/officeDocument/2006/docPropsVTypes">
  <Template>Normal</Template>
  <TotalTime>3</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3</cp:revision>
  <cp:lastPrinted>2021-11-04T02:59:00Z</cp:lastPrinted>
  <dcterms:created xsi:type="dcterms:W3CDTF">2022-03-25T01:59:00Z</dcterms:created>
  <dcterms:modified xsi:type="dcterms:W3CDTF">2022-03-25T02:02:00Z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